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32" w:rsidRDefault="000575D8" w:rsidP="00C23859">
      <w:pPr>
        <w:pBdr>
          <w:bottom w:val="single" w:sz="4" w:space="1" w:color="auto"/>
        </w:pBdr>
        <w:jc w:val="both"/>
        <w:rPr>
          <w:b/>
        </w:rPr>
      </w:pPr>
      <w:r>
        <w:rPr>
          <w:b/>
        </w:rPr>
        <w:t xml:space="preserve">Collection Procedures </w:t>
      </w:r>
      <w:r w:rsidR="0056376C">
        <w:rPr>
          <w:b/>
        </w:rPr>
        <w:t>for Miscellaneous Receivables</w:t>
      </w:r>
    </w:p>
    <w:p w:rsidR="0056376C" w:rsidRDefault="0056376C" w:rsidP="0056376C">
      <w:pPr>
        <w:jc w:val="both"/>
      </w:pPr>
      <w:r>
        <w:t xml:space="preserve">Miscellaneous receivables are non-utility receivables.  </w:t>
      </w:r>
      <w:r w:rsidRPr="00337D18">
        <w:t xml:space="preserve">Miscellaneous receivables include invoices submitted for billable work orders, cost reimbursements, </w:t>
      </w:r>
      <w:r w:rsidR="00A134D8">
        <w:t>capacity</w:t>
      </w:r>
      <w:r>
        <w:t xml:space="preserve"> </w:t>
      </w:r>
      <w:r w:rsidR="00E45305">
        <w:t>f</w:t>
      </w:r>
      <w:r>
        <w:t>ee</w:t>
      </w:r>
      <w:r w:rsidR="00E45305">
        <w:t>s</w:t>
      </w:r>
      <w:r>
        <w:t xml:space="preserve">, </w:t>
      </w:r>
      <w:r w:rsidR="00E45305">
        <w:t>p</w:t>
      </w:r>
      <w:r>
        <w:t xml:space="preserve">roperty </w:t>
      </w:r>
      <w:r w:rsidR="00E45305">
        <w:t>l</w:t>
      </w:r>
      <w:r>
        <w:t xml:space="preserve">eases, </w:t>
      </w:r>
      <w:r w:rsidR="00E45305">
        <w:t xml:space="preserve">developer </w:t>
      </w:r>
      <w:r w:rsidR="002632A0">
        <w:t>inspection</w:t>
      </w:r>
      <w:r w:rsidR="00B10B03">
        <w:t xml:space="preserve"> fees</w:t>
      </w:r>
      <w:r w:rsidR="002632A0">
        <w:t xml:space="preserve">, planning, and plan check </w:t>
      </w:r>
      <w:r w:rsidR="00E45305">
        <w:t xml:space="preserve">fees, </w:t>
      </w:r>
      <w:r>
        <w:t xml:space="preserve">and all others types of invoices not </w:t>
      </w:r>
      <w:r w:rsidR="002632A0">
        <w:t>related to customer water or sewer billings.</w:t>
      </w:r>
    </w:p>
    <w:p w:rsidR="000C74B3" w:rsidRDefault="000C74B3" w:rsidP="00EB26EC">
      <w:pPr>
        <w:jc w:val="both"/>
      </w:pPr>
      <w:r>
        <w:t xml:space="preserve">An aging report of accounts receivable accounts is run </w:t>
      </w:r>
      <w:r w:rsidR="00AB1C00">
        <w:t>every Monday.</w:t>
      </w:r>
      <w:r>
        <w:t xml:space="preserve">  </w:t>
      </w:r>
    </w:p>
    <w:p w:rsidR="008117FC" w:rsidRPr="00337D18" w:rsidRDefault="008117FC" w:rsidP="00EB26EC">
      <w:pPr>
        <w:jc w:val="both"/>
      </w:pPr>
      <w:r>
        <w:t>Invoices are due 30 day</w:t>
      </w:r>
      <w:bookmarkStart w:id="0" w:name="_GoBack"/>
      <w:bookmarkEnd w:id="0"/>
      <w:r>
        <w:t>s after the invoice date.</w:t>
      </w:r>
    </w:p>
    <w:p w:rsidR="00FC4901" w:rsidRDefault="00FC4901" w:rsidP="0056376C">
      <w:pPr>
        <w:pStyle w:val="ListParagraph"/>
        <w:numPr>
          <w:ilvl w:val="0"/>
          <w:numId w:val="4"/>
        </w:numPr>
        <w:jc w:val="both"/>
      </w:pPr>
      <w:r>
        <w:t>&gt;</w:t>
      </w:r>
      <w:r w:rsidR="00AB1C00">
        <w:t xml:space="preserve">31 days after the invoice date </w:t>
      </w:r>
      <w:r>
        <w:t>–</w:t>
      </w:r>
    </w:p>
    <w:p w:rsidR="00083780" w:rsidRDefault="00FC4901" w:rsidP="00FC4901">
      <w:pPr>
        <w:pStyle w:val="ListParagraph"/>
        <w:numPr>
          <w:ilvl w:val="1"/>
          <w:numId w:val="4"/>
        </w:numPr>
        <w:jc w:val="both"/>
      </w:pPr>
      <w:r>
        <w:t>Customers with an active utility account – a Notice of Intent to transfer balance to utility account is sent.</w:t>
      </w:r>
    </w:p>
    <w:p w:rsidR="00ED3EDC" w:rsidRDefault="00FC4901" w:rsidP="00FC4901">
      <w:pPr>
        <w:pStyle w:val="ListParagraph"/>
        <w:numPr>
          <w:ilvl w:val="1"/>
          <w:numId w:val="4"/>
        </w:numPr>
        <w:jc w:val="both"/>
      </w:pPr>
      <w:r>
        <w:t xml:space="preserve">All other customers - </w:t>
      </w:r>
      <w:r w:rsidR="00AB1C00">
        <w:t>t</w:t>
      </w:r>
      <w:r w:rsidR="00F525C1">
        <w:t>he 1</w:t>
      </w:r>
      <w:r w:rsidR="00F525C1" w:rsidRPr="0056376C">
        <w:rPr>
          <w:vertAlign w:val="superscript"/>
        </w:rPr>
        <w:t>st</w:t>
      </w:r>
      <w:r w:rsidR="00F525C1">
        <w:t xml:space="preserve"> </w:t>
      </w:r>
      <w:r w:rsidR="00337D18">
        <w:t>reminder letter</w:t>
      </w:r>
      <w:r w:rsidR="00AB1C00">
        <w:t xml:space="preserve"> with an invoice copy stamped “past due”</w:t>
      </w:r>
      <w:r w:rsidR="00337D18">
        <w:t xml:space="preserve"> is sent for invoices not paid</w:t>
      </w:r>
      <w:r>
        <w:t>.</w:t>
      </w:r>
    </w:p>
    <w:p w:rsidR="00FC4901" w:rsidRDefault="00FC4901" w:rsidP="0056376C">
      <w:pPr>
        <w:pStyle w:val="ListParagraph"/>
        <w:numPr>
          <w:ilvl w:val="0"/>
          <w:numId w:val="4"/>
        </w:numPr>
        <w:jc w:val="both"/>
      </w:pPr>
      <w:r>
        <w:t>&gt;</w:t>
      </w:r>
      <w:r w:rsidR="00AB1C00">
        <w:t xml:space="preserve">60 days after the invoice date </w:t>
      </w:r>
      <w:r>
        <w:t>–</w:t>
      </w:r>
      <w:r w:rsidR="00AB1C00">
        <w:t xml:space="preserve"> </w:t>
      </w:r>
    </w:p>
    <w:p w:rsidR="00FC4901" w:rsidRDefault="00FC4901" w:rsidP="00FC4901">
      <w:pPr>
        <w:pStyle w:val="ListParagraph"/>
        <w:numPr>
          <w:ilvl w:val="1"/>
          <w:numId w:val="4"/>
        </w:numPr>
        <w:jc w:val="both"/>
      </w:pPr>
      <w:r>
        <w:t>Customers with an activity utility account – transfer unpaid balance to existing utility account and remove from accounts receivable.</w:t>
      </w:r>
    </w:p>
    <w:p w:rsidR="00AB1C00" w:rsidRDefault="00AB1C00" w:rsidP="00FC4901">
      <w:pPr>
        <w:pStyle w:val="ListParagraph"/>
        <w:numPr>
          <w:ilvl w:val="1"/>
          <w:numId w:val="4"/>
        </w:numPr>
        <w:jc w:val="both"/>
      </w:pPr>
      <w:proofErr w:type="gramStart"/>
      <w:r>
        <w:t>a</w:t>
      </w:r>
      <w:proofErr w:type="gramEnd"/>
      <w:r w:rsidR="000575D8">
        <w:t xml:space="preserve"> </w:t>
      </w:r>
      <w:r w:rsidR="00F525C1">
        <w:t>2</w:t>
      </w:r>
      <w:r w:rsidR="00F525C1" w:rsidRPr="00AB1C00">
        <w:rPr>
          <w:vertAlign w:val="superscript"/>
        </w:rPr>
        <w:t>nd</w:t>
      </w:r>
      <w:r w:rsidR="00F525C1">
        <w:t xml:space="preserve"> </w:t>
      </w:r>
      <w:r w:rsidR="000575D8">
        <w:t xml:space="preserve">reminder </w:t>
      </w:r>
      <w:r w:rsidR="000C74B3">
        <w:t>letter with an invoice copy</w:t>
      </w:r>
      <w:r w:rsidR="000575D8">
        <w:t xml:space="preserve"> stamped “past-due”</w:t>
      </w:r>
      <w:r w:rsidR="00337D18">
        <w:t xml:space="preserve"> is sent for invoices not paid</w:t>
      </w:r>
      <w:r w:rsidR="008117FC">
        <w:t xml:space="preserve">.  </w:t>
      </w:r>
    </w:p>
    <w:p w:rsidR="000575D8" w:rsidRDefault="00FC4901" w:rsidP="0056376C">
      <w:pPr>
        <w:pStyle w:val="ListParagraph"/>
        <w:numPr>
          <w:ilvl w:val="0"/>
          <w:numId w:val="4"/>
        </w:numPr>
        <w:jc w:val="both"/>
      </w:pPr>
      <w:r>
        <w:t>&gt;</w:t>
      </w:r>
      <w:r w:rsidR="00AB1C00">
        <w:t>75 days after the invoice date - a</w:t>
      </w:r>
      <w:r w:rsidR="000575D8">
        <w:t xml:space="preserve"> final notice letter with a </w:t>
      </w:r>
      <w:r w:rsidR="00F525C1">
        <w:t>1</w:t>
      </w:r>
      <w:r w:rsidR="00AB1C00">
        <w:t>5</w:t>
      </w:r>
      <w:r w:rsidR="00F525C1">
        <w:t xml:space="preserve"> day </w:t>
      </w:r>
      <w:r w:rsidR="000575D8">
        <w:t>deadline to remit payment</w:t>
      </w:r>
      <w:r w:rsidR="00337D18">
        <w:t xml:space="preserve"> is sent for invoices not paid</w:t>
      </w:r>
      <w:r w:rsidR="000575D8">
        <w:t>.</w:t>
      </w:r>
    </w:p>
    <w:p w:rsidR="00FE230E" w:rsidRDefault="00FC4901" w:rsidP="00FC4901">
      <w:pPr>
        <w:pStyle w:val="ListParagraph"/>
        <w:numPr>
          <w:ilvl w:val="0"/>
          <w:numId w:val="4"/>
        </w:numPr>
        <w:jc w:val="both"/>
      </w:pPr>
      <w:r>
        <w:t>&gt;</w:t>
      </w:r>
      <w:r w:rsidR="00AB1C00">
        <w:t xml:space="preserve">90 days after the invoice date </w:t>
      </w:r>
      <w:r w:rsidR="00FE230E">
        <w:t>–</w:t>
      </w:r>
      <w:r w:rsidR="00AB1C00">
        <w:t xml:space="preserve"> </w:t>
      </w:r>
    </w:p>
    <w:p w:rsidR="00FE230E" w:rsidRDefault="00FE230E" w:rsidP="00FE230E">
      <w:pPr>
        <w:pStyle w:val="ListParagraph"/>
        <w:numPr>
          <w:ilvl w:val="1"/>
          <w:numId w:val="4"/>
        </w:numPr>
        <w:jc w:val="both"/>
      </w:pPr>
      <w:r>
        <w:t>If the unpaid balance is related to capacity fees, the amount due will be placed on the property tax roll and the account is removed from accounts receivable.</w:t>
      </w:r>
    </w:p>
    <w:p w:rsidR="001F507C" w:rsidRPr="00FC4901" w:rsidRDefault="00FE230E" w:rsidP="00FE230E">
      <w:pPr>
        <w:pStyle w:val="ListParagraph"/>
        <w:numPr>
          <w:ilvl w:val="1"/>
          <w:numId w:val="4"/>
        </w:numPr>
        <w:jc w:val="both"/>
      </w:pPr>
      <w:r>
        <w:t xml:space="preserve">All other non-governmental or other agency receivables - </w:t>
      </w:r>
      <w:r w:rsidR="00FC4901">
        <w:t>the</w:t>
      </w:r>
      <w:r w:rsidR="0016740B" w:rsidRPr="001F507C">
        <w:t xml:space="preserve"> unpaid balance will be forwarded to the Collection Agency</w:t>
      </w:r>
      <w:r w:rsidR="008117FC">
        <w:t>.  The account is written off and charged to Bad Debt</w:t>
      </w:r>
      <w:r w:rsidR="00AB1C00">
        <w:t xml:space="preserve"> Expense</w:t>
      </w:r>
      <w:r w:rsidR="002632A0">
        <w:t>.</w:t>
      </w:r>
      <w:r w:rsidR="00AB1C00">
        <w:t xml:space="preserve">  </w:t>
      </w:r>
      <w:r w:rsidR="001F507C">
        <w:t xml:space="preserve">If the unpaid balance is related to </w:t>
      </w:r>
      <w:r w:rsidR="00AB1C00">
        <w:t>capacity</w:t>
      </w:r>
      <w:r w:rsidR="001F507C">
        <w:t xml:space="preserve"> fees, </w:t>
      </w:r>
      <w:r w:rsidR="00AB1C00">
        <w:t>t</w:t>
      </w:r>
      <w:r w:rsidR="00B10B03">
        <w:t>he amount due will be placed on the property tax roll.</w:t>
      </w:r>
    </w:p>
    <w:p w:rsidR="00ED3EDC" w:rsidRPr="001F507C" w:rsidRDefault="00ED3EDC" w:rsidP="00EB26EC">
      <w:pPr>
        <w:jc w:val="both"/>
        <w:rPr>
          <w:b/>
          <w:u w:val="single"/>
        </w:rPr>
      </w:pPr>
      <w:r w:rsidRPr="001F507C">
        <w:rPr>
          <w:b/>
          <w:u w:val="single"/>
        </w:rPr>
        <w:t>Government</w:t>
      </w:r>
      <w:r w:rsidR="008117FC">
        <w:rPr>
          <w:b/>
          <w:u w:val="single"/>
        </w:rPr>
        <w:t>al</w:t>
      </w:r>
      <w:r w:rsidRPr="001F507C">
        <w:rPr>
          <w:b/>
          <w:u w:val="single"/>
        </w:rPr>
        <w:t xml:space="preserve"> and Other Agency Receivables:</w:t>
      </w:r>
    </w:p>
    <w:p w:rsidR="008117FC" w:rsidRDefault="0056376C" w:rsidP="008117FC">
      <w:pPr>
        <w:jc w:val="both"/>
      </w:pPr>
      <w:r>
        <w:t xml:space="preserve">Standard procedure is followed with the following </w:t>
      </w:r>
      <w:r w:rsidR="002632A0">
        <w:t>additional steps</w:t>
      </w:r>
      <w:r>
        <w:t>:</w:t>
      </w:r>
    </w:p>
    <w:p w:rsidR="00D60D4E" w:rsidRDefault="006C1ABA" w:rsidP="0056376C">
      <w:pPr>
        <w:pStyle w:val="ListParagraph"/>
        <w:numPr>
          <w:ilvl w:val="0"/>
          <w:numId w:val="2"/>
        </w:numPr>
        <w:jc w:val="both"/>
      </w:pPr>
      <w:r>
        <w:t xml:space="preserve">If no payment is received 60 days after the invoice date, the account is </w:t>
      </w:r>
      <w:r w:rsidR="002E4A3A">
        <w:t>reported to the General Manager</w:t>
      </w:r>
      <w:r>
        <w:t xml:space="preserve"> by </w:t>
      </w:r>
      <w:r w:rsidR="00DE3FB8">
        <w:t>providing a report on the 1</w:t>
      </w:r>
      <w:r w:rsidR="00DE3FB8" w:rsidRPr="00D60D4E">
        <w:rPr>
          <w:vertAlign w:val="superscript"/>
        </w:rPr>
        <w:t>st</w:t>
      </w:r>
      <w:r w:rsidR="00DE3FB8">
        <w:t xml:space="preserve"> and 3</w:t>
      </w:r>
      <w:r w:rsidR="00DE3FB8" w:rsidRPr="00D60D4E">
        <w:rPr>
          <w:vertAlign w:val="superscript"/>
        </w:rPr>
        <w:t>rd</w:t>
      </w:r>
      <w:r w:rsidR="00DE3FB8">
        <w:t xml:space="preserve"> Wednesday of every month</w:t>
      </w:r>
      <w:r w:rsidR="009806AC">
        <w:t>.</w:t>
      </w:r>
      <w:r w:rsidR="00DE3FB8">
        <w:t xml:space="preserve"> </w:t>
      </w:r>
      <w:r w:rsidR="00D60D4E">
        <w:t xml:space="preserve">  </w:t>
      </w:r>
    </w:p>
    <w:p w:rsidR="00D05463" w:rsidRDefault="006C1ABA" w:rsidP="0056376C">
      <w:pPr>
        <w:pStyle w:val="ListParagraph"/>
        <w:numPr>
          <w:ilvl w:val="0"/>
          <w:numId w:val="2"/>
        </w:numPr>
        <w:jc w:val="both"/>
      </w:pPr>
      <w:r>
        <w:t xml:space="preserve">If no payment is received </w:t>
      </w:r>
      <w:r w:rsidR="002E4A3A">
        <w:t>90</w:t>
      </w:r>
      <w:r>
        <w:t xml:space="preserve"> days after the invoice date, the account is </w:t>
      </w:r>
      <w:r w:rsidR="002E4A3A">
        <w:t>reported</w:t>
      </w:r>
      <w:r>
        <w:t xml:space="preserve"> </w:t>
      </w:r>
      <w:r w:rsidR="002E4A3A">
        <w:t xml:space="preserve">to the </w:t>
      </w:r>
      <w:r w:rsidR="00163035">
        <w:t>FAC</w:t>
      </w:r>
      <w:r w:rsidR="002E4A3A">
        <w:t xml:space="preserve"> </w:t>
      </w:r>
      <w:r>
        <w:t xml:space="preserve">by </w:t>
      </w:r>
      <w:r w:rsidR="00DE3FB8">
        <w:t xml:space="preserve">providing a report </w:t>
      </w:r>
      <w:r w:rsidR="00163035">
        <w:t>every month until the outstanding balance is resolved.</w:t>
      </w:r>
    </w:p>
    <w:p w:rsidR="00FC4901" w:rsidRDefault="00FC4901" w:rsidP="0056376C">
      <w:pPr>
        <w:pStyle w:val="ListParagraph"/>
        <w:numPr>
          <w:ilvl w:val="0"/>
          <w:numId w:val="2"/>
        </w:numPr>
        <w:jc w:val="both"/>
      </w:pPr>
      <w:r>
        <w:t>&gt;90 days – continue to work with agency until resolved.</w:t>
      </w:r>
    </w:p>
    <w:p w:rsidR="00163035" w:rsidRDefault="00163035" w:rsidP="00163035">
      <w:pPr>
        <w:jc w:val="both"/>
        <w:rPr>
          <w:b/>
          <w:u w:val="single"/>
        </w:rPr>
      </w:pPr>
      <w:r>
        <w:rPr>
          <w:b/>
          <w:u w:val="single"/>
        </w:rPr>
        <w:t>Inspection Fees</w:t>
      </w:r>
      <w:r w:rsidR="00C23859">
        <w:rPr>
          <w:b/>
          <w:u w:val="single"/>
        </w:rPr>
        <w:t xml:space="preserve"> and </w:t>
      </w:r>
      <w:proofErr w:type="spellStart"/>
      <w:r w:rsidR="00C23859">
        <w:rPr>
          <w:b/>
          <w:u w:val="single"/>
        </w:rPr>
        <w:t>Septage</w:t>
      </w:r>
      <w:proofErr w:type="spellEnd"/>
      <w:r w:rsidR="00C23859">
        <w:rPr>
          <w:b/>
          <w:u w:val="single"/>
        </w:rPr>
        <w:t xml:space="preserve"> Fees</w:t>
      </w:r>
      <w:r>
        <w:rPr>
          <w:b/>
          <w:u w:val="single"/>
        </w:rPr>
        <w:t>:</w:t>
      </w:r>
    </w:p>
    <w:p w:rsidR="00163035" w:rsidRDefault="00163035" w:rsidP="00163035">
      <w:pPr>
        <w:jc w:val="both"/>
      </w:pPr>
      <w:r>
        <w:t>Standard procedure is followed with the following additional step:</w:t>
      </w:r>
    </w:p>
    <w:p w:rsidR="00163035" w:rsidRDefault="00C23859" w:rsidP="00163035">
      <w:pPr>
        <w:pStyle w:val="ListParagraph"/>
        <w:numPr>
          <w:ilvl w:val="0"/>
          <w:numId w:val="7"/>
        </w:numPr>
        <w:jc w:val="both"/>
      </w:pPr>
      <w:r>
        <w:lastRenderedPageBreak/>
        <w:t xml:space="preserve">Inspection Fees - </w:t>
      </w:r>
      <w:r w:rsidR="00163035">
        <w:t>The Engineering department will be notified immediately of any inspection fee account with an outstanding balance to ensure that all inspection work on the project is halted until the balance is paid.</w:t>
      </w:r>
      <w:r w:rsidR="00181EE9">
        <w:t xml:space="preserve">  Inspection work should be halted any time the costs of the project are </w:t>
      </w:r>
      <w:r w:rsidR="00535776">
        <w:t>100</w:t>
      </w:r>
      <w:r w:rsidR="00181EE9">
        <w:t>% or greater than the current deposits received until additional deposits are remitted.</w:t>
      </w:r>
      <w:r w:rsidR="00FC4901">
        <w:t xml:space="preserve">  All work orders will be closed to prevent further charges.</w:t>
      </w:r>
    </w:p>
    <w:p w:rsidR="00C23859" w:rsidRDefault="00C23859" w:rsidP="00163035">
      <w:pPr>
        <w:pStyle w:val="ListParagraph"/>
        <w:numPr>
          <w:ilvl w:val="0"/>
          <w:numId w:val="7"/>
        </w:numPr>
        <w:jc w:val="both"/>
      </w:pPr>
      <w:proofErr w:type="spellStart"/>
      <w:r>
        <w:t>Septage</w:t>
      </w:r>
      <w:proofErr w:type="spellEnd"/>
      <w:r>
        <w:t xml:space="preserve"> Fees – The Wastewater Operations department will be notified immediately of any unpaid </w:t>
      </w:r>
      <w:proofErr w:type="spellStart"/>
      <w:r>
        <w:t>septage</w:t>
      </w:r>
      <w:proofErr w:type="spellEnd"/>
      <w:r w:rsidR="00181EE9">
        <w:t xml:space="preserve"> fees 60 days after invoice date </w:t>
      </w:r>
      <w:r>
        <w:t xml:space="preserve">and the account holder will not be allowed to dump </w:t>
      </w:r>
      <w:proofErr w:type="spellStart"/>
      <w:r>
        <w:t>septage</w:t>
      </w:r>
      <w:proofErr w:type="spellEnd"/>
      <w:r>
        <w:t xml:space="preserve"> until the balance is paid.</w:t>
      </w:r>
    </w:p>
    <w:p w:rsidR="00083780" w:rsidRDefault="00083780" w:rsidP="00083780">
      <w:pPr>
        <w:ind w:left="360"/>
        <w:jc w:val="both"/>
        <w:rPr>
          <w:b/>
          <w:u w:val="single"/>
        </w:rPr>
      </w:pPr>
      <w:r>
        <w:rPr>
          <w:b/>
          <w:u w:val="single"/>
        </w:rPr>
        <w:t>Lease Agreements</w:t>
      </w:r>
      <w:r w:rsidRPr="00083780">
        <w:rPr>
          <w:b/>
          <w:u w:val="single"/>
        </w:rPr>
        <w:t>:</w:t>
      </w:r>
    </w:p>
    <w:p w:rsidR="00083780" w:rsidRDefault="00083780" w:rsidP="00DD3E24">
      <w:pPr>
        <w:ind w:firstLine="360"/>
        <w:jc w:val="both"/>
      </w:pPr>
      <w:r>
        <w:t>Standard procedure is followed with the following additional steps:</w:t>
      </w:r>
    </w:p>
    <w:p w:rsidR="00D21A22" w:rsidRDefault="00D21A22" w:rsidP="00083780">
      <w:pPr>
        <w:pStyle w:val="ListParagraph"/>
        <w:numPr>
          <w:ilvl w:val="0"/>
          <w:numId w:val="8"/>
        </w:numPr>
        <w:jc w:val="both"/>
      </w:pPr>
      <w:r>
        <w:t>If no payment is received 45 days after the invoice date, an additional invoice for 10% of the overdue payment is billed and sent with a copy of the overdue invoice.</w:t>
      </w:r>
    </w:p>
    <w:p w:rsidR="00083780" w:rsidRDefault="00083780" w:rsidP="00083780">
      <w:pPr>
        <w:pStyle w:val="ListParagraph"/>
        <w:numPr>
          <w:ilvl w:val="0"/>
          <w:numId w:val="8"/>
        </w:numPr>
        <w:jc w:val="both"/>
      </w:pPr>
      <w:r>
        <w:t>If no payment is received 60 days after the invoice date, the account is reported to the General Manager by providing a report on the 1</w:t>
      </w:r>
      <w:r w:rsidRPr="00D60D4E">
        <w:rPr>
          <w:vertAlign w:val="superscript"/>
        </w:rPr>
        <w:t>st</w:t>
      </w:r>
      <w:r>
        <w:t xml:space="preserve"> and 3</w:t>
      </w:r>
      <w:r w:rsidRPr="00D60D4E">
        <w:rPr>
          <w:vertAlign w:val="superscript"/>
        </w:rPr>
        <w:t>rd</w:t>
      </w:r>
      <w:r>
        <w:t xml:space="preserve"> Wednesday of every month.   </w:t>
      </w:r>
    </w:p>
    <w:p w:rsidR="00083780" w:rsidRDefault="00083780" w:rsidP="00083780">
      <w:pPr>
        <w:pStyle w:val="ListParagraph"/>
        <w:numPr>
          <w:ilvl w:val="0"/>
          <w:numId w:val="8"/>
        </w:numPr>
        <w:jc w:val="both"/>
      </w:pPr>
      <w:r>
        <w:t>If no payment is received 90 days after the invoice date, the account is reported to the FAC by providing a monthly report.</w:t>
      </w:r>
      <w:r w:rsidR="00AE116E">
        <w:t xml:space="preserve">  Upon authorization, a Notice of Intent </w:t>
      </w:r>
      <w:r w:rsidR="00D21A22">
        <w:t>to Apply Security Deposit to Overdue Invoices and/or Request for Additional Security Deposit is sent</w:t>
      </w:r>
      <w:r w:rsidR="00AE116E">
        <w:t>.</w:t>
      </w:r>
    </w:p>
    <w:p w:rsidR="00083780" w:rsidRDefault="00083780" w:rsidP="00083780">
      <w:pPr>
        <w:pStyle w:val="ListParagraph"/>
        <w:numPr>
          <w:ilvl w:val="0"/>
          <w:numId w:val="8"/>
        </w:numPr>
        <w:jc w:val="both"/>
      </w:pPr>
      <w:r>
        <w:t>&gt;90 days – continue to work with agency until resolved.</w:t>
      </w:r>
    </w:p>
    <w:p w:rsidR="00083780" w:rsidRPr="00083780" w:rsidRDefault="00083780" w:rsidP="00083780">
      <w:pPr>
        <w:pStyle w:val="ListParagraph"/>
        <w:ind w:left="1080"/>
        <w:jc w:val="both"/>
        <w:rPr>
          <w:b/>
          <w:u w:val="single"/>
        </w:rPr>
      </w:pPr>
    </w:p>
    <w:p w:rsidR="00083780" w:rsidRPr="00163035" w:rsidRDefault="00083780" w:rsidP="00083780">
      <w:pPr>
        <w:jc w:val="both"/>
      </w:pPr>
    </w:p>
    <w:sectPr w:rsidR="00083780" w:rsidRPr="00163035" w:rsidSect="00E66455">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80" w:rsidRDefault="00083780" w:rsidP="00606081">
      <w:pPr>
        <w:spacing w:after="0" w:line="240" w:lineRule="auto"/>
      </w:pPr>
      <w:r>
        <w:separator/>
      </w:r>
    </w:p>
  </w:endnote>
  <w:endnote w:type="continuationSeparator" w:id="0">
    <w:p w:rsidR="00083780" w:rsidRDefault="00083780" w:rsidP="0060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79"/>
      <w:gridCol w:w="1031"/>
    </w:tblGrid>
    <w:tr w:rsidR="00083780" w:rsidTr="00606081">
      <w:tc>
        <w:tcPr>
          <w:tcW w:w="4500" w:type="pct"/>
          <w:tcBorders>
            <w:top w:val="single" w:sz="4" w:space="0" w:color="000000" w:themeColor="text1"/>
          </w:tcBorders>
        </w:tcPr>
        <w:p w:rsidR="00083780" w:rsidRDefault="00083780" w:rsidP="00606081">
          <w:pPr>
            <w:pStyle w:val="Footer"/>
            <w:jc w:val="right"/>
          </w:pPr>
          <w:r>
            <w:t>Collection Procedures for Miscellaneous Receivables</w:t>
          </w:r>
        </w:p>
        <w:p w:rsidR="00083780" w:rsidRDefault="00DD3E24" w:rsidP="00606081">
          <w:pPr>
            <w:pStyle w:val="Footer"/>
            <w:jc w:val="right"/>
          </w:pPr>
          <w:r>
            <w:t>August 22</w:t>
          </w:r>
          <w:r w:rsidR="00083780">
            <w:t>, 2012</w:t>
          </w:r>
        </w:p>
      </w:tc>
      <w:tc>
        <w:tcPr>
          <w:tcW w:w="500" w:type="pct"/>
          <w:shd w:val="clear" w:color="auto" w:fill="943634" w:themeFill="accent2" w:themeFillShade="BF"/>
        </w:tcPr>
        <w:p w:rsidR="00083780" w:rsidRDefault="00083780">
          <w:pPr>
            <w:pStyle w:val="Header"/>
            <w:rPr>
              <w:color w:val="FFFFFF" w:themeColor="background1"/>
            </w:rPr>
          </w:pPr>
          <w:r>
            <w:fldChar w:fldCharType="begin"/>
          </w:r>
          <w:r>
            <w:instrText xml:space="preserve"> PAGE   \* MERGEFORMAT </w:instrText>
          </w:r>
          <w:r>
            <w:fldChar w:fldCharType="separate"/>
          </w:r>
          <w:r w:rsidR="007C791D" w:rsidRPr="007C791D">
            <w:rPr>
              <w:noProof/>
              <w:color w:val="FFFFFF" w:themeColor="background1"/>
            </w:rPr>
            <w:t>1</w:t>
          </w:r>
          <w:r>
            <w:rPr>
              <w:noProof/>
              <w:color w:val="FFFFFF" w:themeColor="background1"/>
            </w:rPr>
            <w:fldChar w:fldCharType="end"/>
          </w:r>
        </w:p>
      </w:tc>
    </w:tr>
  </w:tbl>
  <w:p w:rsidR="00083780" w:rsidRDefault="00083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80" w:rsidRDefault="00083780" w:rsidP="00606081">
      <w:pPr>
        <w:spacing w:after="0" w:line="240" w:lineRule="auto"/>
      </w:pPr>
      <w:r>
        <w:separator/>
      </w:r>
    </w:p>
  </w:footnote>
  <w:footnote w:type="continuationSeparator" w:id="0">
    <w:p w:rsidR="00083780" w:rsidRDefault="00083780" w:rsidP="00606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558E"/>
    <w:multiLevelType w:val="hybridMultilevel"/>
    <w:tmpl w:val="EE386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308FF"/>
    <w:multiLevelType w:val="hybridMultilevel"/>
    <w:tmpl w:val="C3A8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B5B92"/>
    <w:multiLevelType w:val="hybridMultilevel"/>
    <w:tmpl w:val="D344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606EDE"/>
    <w:multiLevelType w:val="hybridMultilevel"/>
    <w:tmpl w:val="FCA4C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7619EC"/>
    <w:multiLevelType w:val="hybridMultilevel"/>
    <w:tmpl w:val="65CE0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02CD6"/>
    <w:multiLevelType w:val="hybridMultilevel"/>
    <w:tmpl w:val="8CB2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7E7857"/>
    <w:multiLevelType w:val="hybridMultilevel"/>
    <w:tmpl w:val="EB7A5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1E46D2"/>
    <w:multiLevelType w:val="hybridMultilevel"/>
    <w:tmpl w:val="6EE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D8"/>
    <w:rsid w:val="000575D8"/>
    <w:rsid w:val="00083780"/>
    <w:rsid w:val="000C4D0E"/>
    <w:rsid w:val="000C74B3"/>
    <w:rsid w:val="000F5243"/>
    <w:rsid w:val="00163035"/>
    <w:rsid w:val="0016740B"/>
    <w:rsid w:val="00181EE9"/>
    <w:rsid w:val="001F1ABB"/>
    <w:rsid w:val="001F507C"/>
    <w:rsid w:val="002632A0"/>
    <w:rsid w:val="00266423"/>
    <w:rsid w:val="002D6044"/>
    <w:rsid w:val="002E4A3A"/>
    <w:rsid w:val="00337D18"/>
    <w:rsid w:val="003C32AC"/>
    <w:rsid w:val="004231DA"/>
    <w:rsid w:val="00425407"/>
    <w:rsid w:val="00530CA3"/>
    <w:rsid w:val="00535776"/>
    <w:rsid w:val="0056376C"/>
    <w:rsid w:val="00577E84"/>
    <w:rsid w:val="00606081"/>
    <w:rsid w:val="00642281"/>
    <w:rsid w:val="00687B32"/>
    <w:rsid w:val="006A0810"/>
    <w:rsid w:val="006C1ABA"/>
    <w:rsid w:val="007418AC"/>
    <w:rsid w:val="007A373F"/>
    <w:rsid w:val="007C06CC"/>
    <w:rsid w:val="007C791D"/>
    <w:rsid w:val="008117FC"/>
    <w:rsid w:val="008566BF"/>
    <w:rsid w:val="008925D4"/>
    <w:rsid w:val="008C34FB"/>
    <w:rsid w:val="008E0180"/>
    <w:rsid w:val="008F370A"/>
    <w:rsid w:val="009806AC"/>
    <w:rsid w:val="00985D89"/>
    <w:rsid w:val="009C7DF6"/>
    <w:rsid w:val="009E1614"/>
    <w:rsid w:val="00A00A8D"/>
    <w:rsid w:val="00A04803"/>
    <w:rsid w:val="00A053F2"/>
    <w:rsid w:val="00A134D8"/>
    <w:rsid w:val="00A60A9A"/>
    <w:rsid w:val="00AB1C00"/>
    <w:rsid w:val="00AE116E"/>
    <w:rsid w:val="00B10B03"/>
    <w:rsid w:val="00B3160A"/>
    <w:rsid w:val="00B353CC"/>
    <w:rsid w:val="00BA32AC"/>
    <w:rsid w:val="00BB7BB8"/>
    <w:rsid w:val="00C23859"/>
    <w:rsid w:val="00C53AD4"/>
    <w:rsid w:val="00CE59A4"/>
    <w:rsid w:val="00D02B31"/>
    <w:rsid w:val="00D05463"/>
    <w:rsid w:val="00D21A22"/>
    <w:rsid w:val="00D60D4E"/>
    <w:rsid w:val="00D802B1"/>
    <w:rsid w:val="00DA1ADB"/>
    <w:rsid w:val="00DC484B"/>
    <w:rsid w:val="00DD3E24"/>
    <w:rsid w:val="00DE3FB8"/>
    <w:rsid w:val="00DF2EBA"/>
    <w:rsid w:val="00E45305"/>
    <w:rsid w:val="00E47C2F"/>
    <w:rsid w:val="00E54BDF"/>
    <w:rsid w:val="00E571AB"/>
    <w:rsid w:val="00E66455"/>
    <w:rsid w:val="00EB26EC"/>
    <w:rsid w:val="00EB6F38"/>
    <w:rsid w:val="00ED3EDC"/>
    <w:rsid w:val="00F05428"/>
    <w:rsid w:val="00F44D13"/>
    <w:rsid w:val="00F525C1"/>
    <w:rsid w:val="00FC4901"/>
    <w:rsid w:val="00FE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081"/>
  </w:style>
  <w:style w:type="paragraph" w:styleId="Footer">
    <w:name w:val="footer"/>
    <w:basedOn w:val="Normal"/>
    <w:link w:val="FooterChar"/>
    <w:uiPriority w:val="99"/>
    <w:unhideWhenUsed/>
    <w:rsid w:val="0060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081"/>
  </w:style>
  <w:style w:type="paragraph" w:styleId="BalloonText">
    <w:name w:val="Balloon Text"/>
    <w:basedOn w:val="Normal"/>
    <w:link w:val="BalloonTextChar"/>
    <w:uiPriority w:val="99"/>
    <w:semiHidden/>
    <w:unhideWhenUsed/>
    <w:rsid w:val="0060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081"/>
    <w:rPr>
      <w:rFonts w:ascii="Tahoma" w:hAnsi="Tahoma" w:cs="Tahoma"/>
      <w:sz w:val="16"/>
      <w:szCs w:val="16"/>
    </w:rPr>
  </w:style>
  <w:style w:type="paragraph" w:styleId="ListParagraph">
    <w:name w:val="List Paragraph"/>
    <w:basedOn w:val="Normal"/>
    <w:uiPriority w:val="34"/>
    <w:qFormat/>
    <w:rsid w:val="00EB26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081"/>
  </w:style>
  <w:style w:type="paragraph" w:styleId="Footer">
    <w:name w:val="footer"/>
    <w:basedOn w:val="Normal"/>
    <w:link w:val="FooterChar"/>
    <w:uiPriority w:val="99"/>
    <w:unhideWhenUsed/>
    <w:rsid w:val="0060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081"/>
  </w:style>
  <w:style w:type="paragraph" w:styleId="BalloonText">
    <w:name w:val="Balloon Text"/>
    <w:basedOn w:val="Normal"/>
    <w:link w:val="BalloonTextChar"/>
    <w:uiPriority w:val="99"/>
    <w:semiHidden/>
    <w:unhideWhenUsed/>
    <w:rsid w:val="0060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081"/>
    <w:rPr>
      <w:rFonts w:ascii="Tahoma" w:hAnsi="Tahoma" w:cs="Tahoma"/>
      <w:sz w:val="16"/>
      <w:szCs w:val="16"/>
    </w:rPr>
  </w:style>
  <w:style w:type="paragraph" w:styleId="ListParagraph">
    <w:name w:val="List Paragraph"/>
    <w:basedOn w:val="Normal"/>
    <w:uiPriority w:val="34"/>
    <w:qFormat/>
    <w:rsid w:val="00EB2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Prepared by: Teri Cardoza</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Cardoza</dc:creator>
  <cp:lastModifiedBy>Barbara Mason</cp:lastModifiedBy>
  <cp:revision>2</cp:revision>
  <cp:lastPrinted>2013-01-16T22:55:00Z</cp:lastPrinted>
  <dcterms:created xsi:type="dcterms:W3CDTF">2013-01-16T23:07:00Z</dcterms:created>
  <dcterms:modified xsi:type="dcterms:W3CDTF">2013-01-16T23:07:00Z</dcterms:modified>
</cp:coreProperties>
</file>