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63756D" w:rsidTr="0063756D">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63756D">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63756D" w:rsidTr="0063756D">
                    <w:tc>
                      <w:tcPr>
                        <w:tcW w:w="0" w:type="auto"/>
                        <w:shd w:val="clear" w:color="auto" w:fill="auto"/>
                        <w:tcMar>
                          <w:top w:w="0" w:type="dxa"/>
                          <w:left w:w="135" w:type="dxa"/>
                          <w:bottom w:w="0" w:type="dxa"/>
                          <w:right w:w="135" w:type="dxa"/>
                        </w:tcMar>
                        <w:hideMark/>
                      </w:tcPr>
                      <w:p w:rsidR="0063756D" w:rsidRDefault="0063756D">
                        <w:pPr>
                          <w:jc w:val="center"/>
                          <w:rPr>
                            <w:rFonts w:ascii="Times New Roman" w:hAnsi="Times New Roman" w:cs="Times New Roman"/>
                          </w:rPr>
                        </w:pPr>
                        <w:r>
                          <w:rPr>
                            <w:noProof/>
                          </w:rPr>
                          <w:drawing>
                            <wp:inline distT="0" distB="0" distL="0" distR="0">
                              <wp:extent cx="948690" cy="798195"/>
                              <wp:effectExtent l="0" t="0" r="3810" b="1905"/>
                              <wp:docPr id="4" name="Picture 4" descr="https://gallery.mailchimp.com/930bb0fab56bfc2a1e3383126/images/b3d23eea-c2ed-427c-a336-f976d60acf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930bb0fab56bfc2a1e3383126/images/b3d23eea-c2ed-427c-a336-f976d60acf3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8690" cy="798195"/>
                                      </a:xfrm>
                                      <a:prstGeom prst="rect">
                                        <a:avLst/>
                                      </a:prstGeom>
                                      <a:noFill/>
                                      <a:ln>
                                        <a:noFill/>
                                      </a:ln>
                                    </pic:spPr>
                                  </pic:pic>
                                </a:graphicData>
                              </a:graphic>
                            </wp:inline>
                          </w:drawing>
                        </w:r>
                      </w:p>
                    </w:tc>
                  </w:tr>
                </w:tbl>
                <w:p w:rsidR="0063756D" w:rsidRDefault="0063756D"/>
              </w:tc>
            </w:tr>
          </w:tbl>
          <w:p w:rsidR="0063756D" w:rsidRDefault="0063756D">
            <w:pPr>
              <w:rPr>
                <w:color w:val="000000"/>
                <w:sz w:val="27"/>
                <w:szCs w:val="27"/>
              </w:rPr>
            </w:pPr>
          </w:p>
        </w:tc>
      </w:tr>
      <w:tr w:rsidR="0063756D" w:rsidTr="0063756D">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63756D">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3756D">
                    <w:tc>
                      <w:tcPr>
                        <w:tcW w:w="0" w:type="auto"/>
                        <w:tcMar>
                          <w:top w:w="0" w:type="dxa"/>
                          <w:left w:w="270" w:type="dxa"/>
                          <w:bottom w:w="135" w:type="dxa"/>
                          <w:right w:w="270" w:type="dxa"/>
                        </w:tcMar>
                        <w:hideMark/>
                      </w:tcPr>
                      <w:p w:rsidR="0063756D" w:rsidRDefault="0063756D">
                        <w:pPr>
                          <w:pStyle w:val="Heading1"/>
                          <w:spacing w:before="0" w:beforeAutospacing="0" w:after="0" w:afterAutospacing="0" w:line="488" w:lineRule="atLeast"/>
                          <w:jc w:val="center"/>
                          <w:rPr>
                            <w:rFonts w:ascii="Helvetica" w:hAnsi="Helvetica" w:cs="Helvetica"/>
                            <w:color w:val="202020"/>
                            <w:sz w:val="39"/>
                            <w:szCs w:val="39"/>
                          </w:rPr>
                        </w:pPr>
                        <w:r>
                          <w:rPr>
                            <w:rFonts w:ascii="Helvetica" w:hAnsi="Helvetica" w:cs="Helvetica"/>
                            <w:color w:val="202020"/>
                            <w:sz w:val="39"/>
                            <w:szCs w:val="39"/>
                          </w:rPr>
                          <w:t>Professional Standards</w:t>
                        </w:r>
                        <w:r>
                          <w:rPr>
                            <w:rFonts w:ascii="Helvetica" w:hAnsi="Helvetica" w:cs="Helvetica"/>
                            <w:color w:val="202020"/>
                            <w:sz w:val="39"/>
                            <w:szCs w:val="39"/>
                          </w:rPr>
                          <w:br/>
                          <w:t>Committee Highlights</w:t>
                        </w:r>
                      </w:p>
                      <w:p w:rsidR="0063756D" w:rsidRDefault="0063756D">
                        <w:pPr>
                          <w:pStyle w:val="NormalWeb"/>
                          <w:spacing w:before="150" w:beforeAutospacing="0" w:after="150" w:afterAutospacing="0" w:line="360" w:lineRule="atLeast"/>
                          <w:jc w:val="center"/>
                          <w:rPr>
                            <w:rFonts w:ascii="Helvetica" w:hAnsi="Helvetica" w:cs="Helvetica"/>
                            <w:color w:val="202020"/>
                          </w:rPr>
                        </w:pPr>
                        <w:r>
                          <w:rPr>
                            <w:rStyle w:val="Strong"/>
                            <w:rFonts w:ascii="Helvetica" w:hAnsi="Helvetica" w:cs="Helvetica"/>
                            <w:color w:val="202020"/>
                            <w:sz w:val="30"/>
                            <w:szCs w:val="30"/>
                          </w:rPr>
                          <w:t>FRAUD HOTLINES</w:t>
                        </w:r>
                      </w:p>
                    </w:tc>
                  </w:tr>
                </w:tbl>
                <w:p w:rsidR="0063756D" w:rsidRDefault="0063756D">
                  <w:pPr>
                    <w:rPr>
                      <w:rFonts w:ascii="Times New Roman" w:hAnsi="Times New Roman" w:cs="Times New Roman"/>
                    </w:rPr>
                  </w:pPr>
                </w:p>
              </w:tc>
            </w:tr>
          </w:tbl>
          <w:p w:rsidR="0063756D" w:rsidRDefault="0063756D">
            <w:pPr>
              <w:rPr>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63756D">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63756D">
                    <w:tc>
                      <w:tcPr>
                        <w:tcW w:w="0" w:type="auto"/>
                        <w:tcMar>
                          <w:top w:w="0" w:type="dxa"/>
                          <w:left w:w="135" w:type="dxa"/>
                          <w:bottom w:w="0" w:type="dxa"/>
                          <w:right w:w="135" w:type="dxa"/>
                        </w:tcMar>
                        <w:hideMark/>
                      </w:tcPr>
                      <w:p w:rsidR="0063756D" w:rsidRDefault="0063756D">
                        <w:pPr>
                          <w:jc w:val="center"/>
                          <w:rPr>
                            <w:sz w:val="24"/>
                            <w:szCs w:val="24"/>
                          </w:rPr>
                        </w:pPr>
                        <w:r>
                          <w:rPr>
                            <w:noProof/>
                          </w:rPr>
                          <w:drawing>
                            <wp:inline distT="0" distB="0" distL="0" distR="0">
                              <wp:extent cx="5370195" cy="3582670"/>
                              <wp:effectExtent l="0" t="0" r="1905" b="0"/>
                              <wp:docPr id="3" name="Picture 3" descr="https://gallery.mailchimp.com/930bb0fab56bfc2a1e3383126/_compresseds/7786da06-204e-439a-b4e6-368c9a5f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930bb0fab56bfc2a1e3383126/_compresseds/7786da06-204e-439a-b4e6-368c9a5f09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0195" cy="3582670"/>
                                      </a:xfrm>
                                      <a:prstGeom prst="rect">
                                        <a:avLst/>
                                      </a:prstGeom>
                                      <a:noFill/>
                                      <a:ln>
                                        <a:noFill/>
                                      </a:ln>
                                    </pic:spPr>
                                  </pic:pic>
                                </a:graphicData>
                              </a:graphic>
                            </wp:inline>
                          </w:drawing>
                        </w:r>
                      </w:p>
                    </w:tc>
                  </w:tr>
                </w:tbl>
                <w:p w:rsidR="0063756D" w:rsidRDefault="0063756D"/>
              </w:tc>
            </w:tr>
          </w:tbl>
          <w:p w:rsidR="0063756D" w:rsidRDefault="0063756D">
            <w:pPr>
              <w:rPr>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63756D">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3756D">
                    <w:tc>
                      <w:tcPr>
                        <w:tcW w:w="0" w:type="auto"/>
                        <w:tcMar>
                          <w:top w:w="0" w:type="dxa"/>
                          <w:left w:w="270" w:type="dxa"/>
                          <w:bottom w:w="135" w:type="dxa"/>
                          <w:right w:w="270" w:type="dxa"/>
                        </w:tcMar>
                        <w:hideMark/>
                      </w:tcPr>
                      <w:p w:rsidR="0063756D" w:rsidRDefault="0063756D">
                        <w:pPr>
                          <w:spacing w:line="360" w:lineRule="atLeast"/>
                          <w:rPr>
                            <w:rFonts w:ascii="Helvetica" w:hAnsi="Helvetica" w:cs="Helvetica"/>
                            <w:color w:val="202020"/>
                            <w:sz w:val="24"/>
                            <w:szCs w:val="24"/>
                          </w:rPr>
                        </w:pPr>
                        <w:r>
                          <w:rPr>
                            <w:rFonts w:ascii="Helvetica" w:hAnsi="Helvetica" w:cs="Helvetica"/>
                            <w:color w:val="202020"/>
                          </w:rPr>
                          <w:t>Did you know that 40% of fraud is initially detected by tips, which is by far the most common means of detection? According to the Association of Certified Fraud Examiner’s (“ACFE”) 2018 Report to the Nations, tips are the most common method for detecting fraud with approximately 53% of tips provided by employees within the organization. With that in mind, a fraud hotline can be an effective facilitator for such reporting by employees.</w:t>
                        </w:r>
                        <w:r>
                          <w:rPr>
                            <w:rFonts w:ascii="Helvetica" w:hAnsi="Helvetica" w:cs="Helvetica"/>
                            <w:color w:val="202020"/>
                          </w:rPr>
                          <w:br/>
                        </w:r>
                        <w:r>
                          <w:rPr>
                            <w:rFonts w:ascii="Helvetica" w:hAnsi="Helvetica" w:cs="Helvetica"/>
                            <w:color w:val="202020"/>
                          </w:rPr>
                          <w:br/>
                          <w:t>Based on the ACFE’s findings, corruption is the most prevalent type of fraud in the government sector compared to other types of fraud such as asset misappropriation and financial statement fraud. Corruption schemes such as bribery and bid-rigging typically involve collusion.  Segregation of duties is a key tenant to internal control; however, approximately 49% percent of fraud schemes involve multiple perpetrators. One likely explanation is that many anti-fraud controls work on the principles of segregation of duties. However, when multiple perpetrators conspire in a fraud scheme, they can circumvent the system of internal control. </w:t>
                        </w:r>
                        <w:r>
                          <w:rPr>
                            <w:rFonts w:ascii="Helvetica" w:hAnsi="Helvetica" w:cs="Helvetica"/>
                            <w:color w:val="202020"/>
                          </w:rPr>
                          <w:br/>
                        </w:r>
                        <w:r>
                          <w:rPr>
                            <w:rFonts w:ascii="Helvetica" w:hAnsi="Helvetica" w:cs="Helvetica"/>
                            <w:color w:val="202020"/>
                          </w:rPr>
                          <w:lastRenderedPageBreak/>
                          <w:t> </w:t>
                        </w:r>
                        <w:r>
                          <w:rPr>
                            <w:rFonts w:ascii="Helvetica" w:hAnsi="Helvetica" w:cs="Helvetica"/>
                            <w:color w:val="202020"/>
                          </w:rPr>
                          <w:br/>
                          <w:t>The Government Finance Officers Association recommends that every government establish practical mechanisms (such as a fraud hotline) to permit the confidential, anonymous reporting of concerns about fraud or abuse.</w:t>
                        </w:r>
                      </w:p>
                    </w:tc>
                  </w:tr>
                </w:tbl>
                <w:p w:rsidR="0063756D" w:rsidRDefault="0063756D">
                  <w:pPr>
                    <w:rPr>
                      <w:rFonts w:ascii="Times New Roman" w:hAnsi="Times New Roman" w:cs="Times New Roman"/>
                    </w:rPr>
                  </w:pPr>
                </w:p>
              </w:tc>
            </w:tr>
          </w:tbl>
          <w:p w:rsidR="0063756D" w:rsidRDefault="0063756D">
            <w:pPr>
              <w:rPr>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63756D">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3756D">
                    <w:tc>
                      <w:tcPr>
                        <w:tcW w:w="0" w:type="auto"/>
                        <w:tcMar>
                          <w:top w:w="0" w:type="dxa"/>
                          <w:left w:w="270" w:type="dxa"/>
                          <w:bottom w:w="135" w:type="dxa"/>
                          <w:right w:w="270" w:type="dxa"/>
                        </w:tcMar>
                        <w:hideMark/>
                      </w:tcPr>
                      <w:p w:rsidR="0063756D" w:rsidRDefault="0063756D">
                        <w:pPr>
                          <w:spacing w:line="360" w:lineRule="atLeast"/>
                          <w:rPr>
                            <w:rFonts w:ascii="Helvetica" w:hAnsi="Helvetica" w:cs="Helvetica"/>
                            <w:color w:val="202020"/>
                            <w:sz w:val="24"/>
                            <w:szCs w:val="24"/>
                          </w:rPr>
                        </w:pPr>
                        <w:r>
                          <w:rPr>
                            <w:rFonts w:ascii="Helvetica" w:hAnsi="Helvetica" w:cs="Helvetica"/>
                            <w:color w:val="202020"/>
                          </w:rPr>
                          <w:t xml:space="preserve">For additional information on this topic, read the GFOA Best Practice </w:t>
                        </w:r>
                        <w:bookmarkStart w:id="0" w:name="_GoBack"/>
                        <w:bookmarkEnd w:id="0"/>
                        <w:r>
                          <w:rPr>
                            <w:rFonts w:ascii="Helvetica" w:hAnsi="Helvetica" w:cs="Helvetica"/>
                            <w:color w:val="202020"/>
                          </w:rPr>
                          <w:t>on Whistleblowing, which can be found at </w:t>
                        </w:r>
                        <w:hyperlink r:id="rId8" w:history="1">
                          <w:r w:rsidR="003E6A22" w:rsidRPr="00506CF1">
                            <w:rPr>
                              <w:rStyle w:val="Hyperlink"/>
                              <w:rFonts w:ascii="Helvetica" w:hAnsi="Helvetica" w:cs="Helvetica"/>
                            </w:rPr>
                            <w:t>https://www.gfoa.org/materials/whistleblowing</w:t>
                          </w:r>
                        </w:hyperlink>
                        <w:r w:rsidR="003E6A22">
                          <w:rPr>
                            <w:rFonts w:ascii="Helvetica" w:hAnsi="Helvetica" w:cs="Helvetica"/>
                            <w:color w:val="202020"/>
                          </w:rPr>
                          <w:t xml:space="preserve">. </w:t>
                        </w:r>
                        <w:r>
                          <w:rPr>
                            <w:rFonts w:ascii="Helvetica" w:hAnsi="Helvetica" w:cs="Helvetica"/>
                            <w:color w:val="202020"/>
                          </w:rPr>
                          <w:br/>
                        </w:r>
                        <w:r>
                          <w:rPr>
                            <w:rFonts w:ascii="Helvetica" w:hAnsi="Helvetica" w:cs="Helvetica"/>
                            <w:color w:val="202020"/>
                          </w:rPr>
                          <w:br/>
                          <w:t>If you have questions regarding this topic, contact Jason Al-Imam, Chair of the Professional Standards Committee at </w:t>
                        </w:r>
                        <w:hyperlink r:id="rId9" w:tgtFrame="_blank" w:history="1">
                          <w:r>
                            <w:rPr>
                              <w:rStyle w:val="Hyperlink"/>
                              <w:rFonts w:ascii="Helvetica" w:hAnsi="Helvetica" w:cs="Helvetica"/>
                              <w:color w:val="007C89"/>
                            </w:rPr>
                            <w:t>standards.chair@csmfo.org</w:t>
                          </w:r>
                        </w:hyperlink>
                        <w:r>
                          <w:rPr>
                            <w:rFonts w:ascii="Helvetica" w:hAnsi="Helvetica" w:cs="Helvetica"/>
                            <w:color w:val="202020"/>
                          </w:rPr>
                          <w:t>.</w:t>
                        </w:r>
                      </w:p>
                    </w:tc>
                  </w:tr>
                </w:tbl>
                <w:p w:rsidR="0063756D" w:rsidRDefault="0063756D">
                  <w:pPr>
                    <w:rPr>
                      <w:rFonts w:ascii="Times New Roman" w:hAnsi="Times New Roman" w:cs="Times New Roman"/>
                    </w:rPr>
                  </w:pPr>
                </w:p>
              </w:tc>
            </w:tr>
          </w:tbl>
          <w:p w:rsidR="0063756D" w:rsidRDefault="0063756D">
            <w:pPr>
              <w:rPr>
                <w:color w:val="000000"/>
                <w:sz w:val="27"/>
                <w:szCs w:val="27"/>
              </w:rPr>
            </w:pPr>
          </w:p>
        </w:tc>
      </w:tr>
    </w:tbl>
    <w:p w:rsidR="00D335AA" w:rsidRDefault="00D335AA" w:rsidP="006C2078"/>
    <w:sectPr w:rsidR="00D335AA" w:rsidSect="00A87066">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298" w:rsidRDefault="00777298" w:rsidP="007F3BD5">
      <w:r>
        <w:separator/>
      </w:r>
    </w:p>
  </w:endnote>
  <w:endnote w:type="continuationSeparator" w:id="0">
    <w:p w:rsidR="00777298" w:rsidRDefault="00777298" w:rsidP="007F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298" w:rsidRDefault="00777298" w:rsidP="007F3BD5">
      <w:r>
        <w:separator/>
      </w:r>
    </w:p>
  </w:footnote>
  <w:footnote w:type="continuationSeparator" w:id="0">
    <w:p w:rsidR="00777298" w:rsidRDefault="00777298" w:rsidP="007F3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56"/>
    <w:rsid w:val="00227CDA"/>
    <w:rsid w:val="00355C23"/>
    <w:rsid w:val="00371884"/>
    <w:rsid w:val="003E6A22"/>
    <w:rsid w:val="0055255B"/>
    <w:rsid w:val="0063756D"/>
    <w:rsid w:val="00645FD5"/>
    <w:rsid w:val="006C2078"/>
    <w:rsid w:val="006D06CF"/>
    <w:rsid w:val="006E45AE"/>
    <w:rsid w:val="007524D0"/>
    <w:rsid w:val="00777298"/>
    <w:rsid w:val="00785982"/>
    <w:rsid w:val="007F3BD5"/>
    <w:rsid w:val="00810071"/>
    <w:rsid w:val="00921E2A"/>
    <w:rsid w:val="00981236"/>
    <w:rsid w:val="009F067F"/>
    <w:rsid w:val="00A87066"/>
    <w:rsid w:val="00AD6974"/>
    <w:rsid w:val="00B835B4"/>
    <w:rsid w:val="00B90556"/>
    <w:rsid w:val="00BB0406"/>
    <w:rsid w:val="00BB0548"/>
    <w:rsid w:val="00C4759F"/>
    <w:rsid w:val="00C60DFF"/>
    <w:rsid w:val="00CE10A5"/>
    <w:rsid w:val="00D335AA"/>
    <w:rsid w:val="00E66646"/>
    <w:rsid w:val="00F2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BC77C"/>
  <w15:chartTrackingRefBased/>
  <w15:docId w15:val="{4EB855E9-4DB8-4302-A0AB-BB4A8230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E2A"/>
    <w:pPr>
      <w:spacing w:after="0" w:line="240" w:lineRule="auto"/>
    </w:pPr>
    <w:rPr>
      <w:rFonts w:ascii="Calibri" w:hAnsi="Calibri" w:cs="Calibri"/>
    </w:rPr>
  </w:style>
  <w:style w:type="paragraph" w:styleId="Heading1">
    <w:name w:val="heading 1"/>
    <w:basedOn w:val="Normal"/>
    <w:link w:val="Heading1Char"/>
    <w:uiPriority w:val="9"/>
    <w:qFormat/>
    <w:rsid w:val="0063756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711"/>
    <w:rPr>
      <w:color w:val="0563C1" w:themeColor="hyperlink"/>
      <w:u w:val="single"/>
    </w:rPr>
  </w:style>
  <w:style w:type="paragraph" w:styleId="BalloonText">
    <w:name w:val="Balloon Text"/>
    <w:basedOn w:val="Normal"/>
    <w:link w:val="BalloonTextChar"/>
    <w:uiPriority w:val="99"/>
    <w:semiHidden/>
    <w:unhideWhenUsed/>
    <w:rsid w:val="005525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55B"/>
    <w:rPr>
      <w:rFonts w:ascii="Segoe UI" w:hAnsi="Segoe UI" w:cs="Segoe UI"/>
      <w:sz w:val="18"/>
      <w:szCs w:val="18"/>
    </w:rPr>
  </w:style>
  <w:style w:type="paragraph" w:styleId="Header">
    <w:name w:val="header"/>
    <w:basedOn w:val="Normal"/>
    <w:link w:val="HeaderChar"/>
    <w:uiPriority w:val="99"/>
    <w:unhideWhenUsed/>
    <w:rsid w:val="007F3BD5"/>
    <w:pPr>
      <w:tabs>
        <w:tab w:val="center" w:pos="4680"/>
        <w:tab w:val="right" w:pos="9360"/>
      </w:tabs>
    </w:pPr>
  </w:style>
  <w:style w:type="character" w:customStyle="1" w:styleId="HeaderChar">
    <w:name w:val="Header Char"/>
    <w:basedOn w:val="DefaultParagraphFont"/>
    <w:link w:val="Header"/>
    <w:uiPriority w:val="99"/>
    <w:rsid w:val="007F3BD5"/>
    <w:rPr>
      <w:rFonts w:ascii="Calibri" w:hAnsi="Calibri" w:cs="Calibri"/>
    </w:rPr>
  </w:style>
  <w:style w:type="paragraph" w:styleId="Footer">
    <w:name w:val="footer"/>
    <w:basedOn w:val="Normal"/>
    <w:link w:val="FooterChar"/>
    <w:uiPriority w:val="99"/>
    <w:unhideWhenUsed/>
    <w:rsid w:val="007F3BD5"/>
    <w:pPr>
      <w:tabs>
        <w:tab w:val="center" w:pos="4680"/>
        <w:tab w:val="right" w:pos="9360"/>
      </w:tabs>
    </w:pPr>
  </w:style>
  <w:style w:type="character" w:customStyle="1" w:styleId="FooterChar">
    <w:name w:val="Footer Char"/>
    <w:basedOn w:val="DefaultParagraphFont"/>
    <w:link w:val="Footer"/>
    <w:uiPriority w:val="99"/>
    <w:rsid w:val="007F3BD5"/>
    <w:rPr>
      <w:rFonts w:ascii="Calibri" w:hAnsi="Calibri" w:cs="Calibri"/>
    </w:rPr>
  </w:style>
  <w:style w:type="character" w:customStyle="1" w:styleId="Heading1Char">
    <w:name w:val="Heading 1 Char"/>
    <w:basedOn w:val="DefaultParagraphFont"/>
    <w:link w:val="Heading1"/>
    <w:uiPriority w:val="9"/>
    <w:rsid w:val="0063756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3756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3756D"/>
    <w:rPr>
      <w:b/>
      <w:bCs/>
    </w:rPr>
  </w:style>
  <w:style w:type="character" w:styleId="UnresolvedMention">
    <w:name w:val="Unresolved Mention"/>
    <w:basedOn w:val="DefaultParagraphFont"/>
    <w:uiPriority w:val="99"/>
    <w:semiHidden/>
    <w:unhideWhenUsed/>
    <w:rsid w:val="003E6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31077">
      <w:bodyDiv w:val="1"/>
      <w:marLeft w:val="0"/>
      <w:marRight w:val="0"/>
      <w:marTop w:val="0"/>
      <w:marBottom w:val="0"/>
      <w:divBdr>
        <w:top w:val="none" w:sz="0" w:space="0" w:color="auto"/>
        <w:left w:val="none" w:sz="0" w:space="0" w:color="auto"/>
        <w:bottom w:val="none" w:sz="0" w:space="0" w:color="auto"/>
        <w:right w:val="none" w:sz="0" w:space="0" w:color="auto"/>
      </w:divBdr>
    </w:div>
    <w:div w:id="722605901">
      <w:bodyDiv w:val="1"/>
      <w:marLeft w:val="0"/>
      <w:marRight w:val="0"/>
      <w:marTop w:val="0"/>
      <w:marBottom w:val="0"/>
      <w:divBdr>
        <w:top w:val="none" w:sz="0" w:space="0" w:color="auto"/>
        <w:left w:val="none" w:sz="0" w:space="0" w:color="auto"/>
        <w:bottom w:val="none" w:sz="0" w:space="0" w:color="auto"/>
        <w:right w:val="none" w:sz="0" w:space="0" w:color="auto"/>
      </w:divBdr>
    </w:div>
    <w:div w:id="1252350483">
      <w:bodyDiv w:val="1"/>
      <w:marLeft w:val="0"/>
      <w:marRight w:val="0"/>
      <w:marTop w:val="0"/>
      <w:marBottom w:val="0"/>
      <w:divBdr>
        <w:top w:val="none" w:sz="0" w:space="0" w:color="auto"/>
        <w:left w:val="none" w:sz="0" w:space="0" w:color="auto"/>
        <w:bottom w:val="none" w:sz="0" w:space="0" w:color="auto"/>
        <w:right w:val="none" w:sz="0" w:space="0" w:color="auto"/>
      </w:divBdr>
    </w:div>
    <w:div w:id="15239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foa.org/materials/whistleblowin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tandards.chair@csmf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Al-Imam</dc:creator>
  <cp:keywords/>
  <dc:description/>
  <cp:lastModifiedBy>Al-Imam, Jason</cp:lastModifiedBy>
  <cp:revision>11</cp:revision>
  <cp:lastPrinted>2019-01-22T23:48:00Z</cp:lastPrinted>
  <dcterms:created xsi:type="dcterms:W3CDTF">2019-01-14T20:35:00Z</dcterms:created>
  <dcterms:modified xsi:type="dcterms:W3CDTF">2020-08-25T16:14:00Z</dcterms:modified>
</cp:coreProperties>
</file>