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756D" w:rsidTr="0063756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:rsidTr="0063756D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756D" w:rsidRDefault="006375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48690" cy="798195"/>
                              <wp:effectExtent l="0" t="0" r="3810" b="1905"/>
                              <wp:docPr id="4" name="Picture 4" descr="https://gallery.mailchimp.com/930bb0fab56bfc2a1e3383126/images/b3d23eea-c2ed-427c-a336-f976d60acf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930bb0fab56bfc2a1e3383126/images/b3d23eea-c2ed-427c-a336-f976d60acf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798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756D" w:rsidRDefault="0063756D"/>
              </w:tc>
            </w:tr>
          </w:tbl>
          <w:p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  <w:tr w:rsidR="0063756D" w:rsidTr="0063756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756D" w:rsidRDefault="0063756D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t>Professional Standards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br/>
                          <w:t>Committee Highlights</w:t>
                        </w:r>
                      </w:p>
                      <w:p w:rsidR="0008751F" w:rsidRPr="0008751F" w:rsidRDefault="0008751F" w:rsidP="000875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16"/>
                            <w:szCs w:val="16"/>
                          </w:rPr>
                        </w:pPr>
                      </w:p>
                      <w:p w:rsidR="0063756D" w:rsidRDefault="0008751F" w:rsidP="007F2F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20202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color w:val="202020"/>
                            <w:sz w:val="30"/>
                            <w:szCs w:val="30"/>
                          </w:rPr>
                          <w:t>COVID-19 FINANCIAL REPORTING CONSIDERATIONS</w:t>
                        </w:r>
                      </w:p>
                    </w:tc>
                  </w:tr>
                </w:tbl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756D" w:rsidRDefault="007F2F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74873" cy="2886851"/>
                              <wp:effectExtent l="0" t="0" r="1905" b="889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COVID-19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4925" cy="28969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756D" w:rsidRDefault="0063756D"/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7F7534" w:rsidRDefault="007F7534" w:rsidP="007F2F76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bookmarkStart w:id="0" w:name="_Hlk37064348"/>
                        <w:r>
                          <w:rPr>
                            <w:rFonts w:ascii="Helvetica" w:hAnsi="Helvetica" w:cs="Helvetica"/>
                          </w:rPr>
                          <w:t xml:space="preserve">The California Committee on Municipal Accounting (CCMA) issued a </w:t>
                        </w:r>
                        <w:r w:rsidR="0008751F">
                          <w:rPr>
                            <w:rFonts w:ascii="Helvetica" w:hAnsi="Helvetica" w:cs="Helvetica"/>
                          </w:rPr>
                          <w:t>Government Industry Alert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EC1C62">
                          <w:rPr>
                            <w:rFonts w:ascii="Helvetica" w:hAnsi="Helvetica" w:cs="Helvetica"/>
                          </w:rPr>
                          <w:t>on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08751F">
                          <w:rPr>
                            <w:rFonts w:ascii="Helvetica" w:hAnsi="Helvetica" w:cs="Helvetica"/>
                          </w:rPr>
                          <w:t>April 22, 2020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that provides suggested guidance on </w:t>
                        </w:r>
                        <w:r w:rsidR="0008751F">
                          <w:rPr>
                            <w:rFonts w:ascii="Helvetica" w:hAnsi="Helvetica" w:cs="Helvetica"/>
                          </w:rPr>
                          <w:t>financial reporting matters that may be affected by the</w:t>
                        </w:r>
                        <w:r w:rsidR="00DB730A" w:rsidRPr="00DB730A">
                          <w:rPr>
                            <w:rFonts w:ascii="Helvetica" w:hAnsi="Helvetica" w:cs="Helvetica"/>
                          </w:rPr>
                          <w:t xml:space="preserve"> coronavirus </w:t>
                        </w:r>
                        <w:r w:rsidR="0008751F">
                          <w:rPr>
                            <w:rFonts w:ascii="Helvetica" w:hAnsi="Helvetica" w:cs="Helvetica"/>
                          </w:rPr>
                          <w:t xml:space="preserve">(COVID-19) </w:t>
                        </w:r>
                        <w:r w:rsidR="00DB730A" w:rsidRPr="00DB730A">
                          <w:rPr>
                            <w:rFonts w:ascii="Helvetica" w:hAnsi="Helvetica" w:cs="Helvetica"/>
                          </w:rPr>
                          <w:t>pandemic</w:t>
                        </w:r>
                        <w:r w:rsidR="00852F07">
                          <w:rPr>
                            <w:rFonts w:ascii="Helvetica" w:hAnsi="Helvetica" w:cs="Helvetica"/>
                          </w:rPr>
                          <w:t xml:space="preserve">. </w:t>
                        </w:r>
                        <w:bookmarkEnd w:id="0"/>
                        <w:r w:rsidR="006051BB">
                          <w:rPr>
                            <w:rFonts w:ascii="Helvetica" w:hAnsi="Helvetica" w:cs="Helvetica"/>
                          </w:rPr>
                          <w:t xml:space="preserve">The Government Industry Alert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provides examples of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financial reporting matters that may need to be considered in light of the pandemic</w:t>
                        </w:r>
                        <w:r w:rsidR="00A670CA">
                          <w:rPr>
                            <w:rFonts w:ascii="Helvetica" w:hAnsi="Helvetica" w:cs="Helvetica"/>
                          </w:rPr>
                          <w:t>,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 xml:space="preserve"> such as g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oing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c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oncern and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l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>iquidity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,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a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sset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i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>mpairment</w:t>
                        </w:r>
                        <w:r w:rsidR="002A51EA">
                          <w:rPr>
                            <w:rFonts w:ascii="Helvetica" w:hAnsi="Helvetica" w:cs="Helvetica"/>
                          </w:rPr>
                          <w:t>,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f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air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v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alue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m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>easurement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,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a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ccounting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e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>stimates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,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and financial statement d</w:t>
                        </w:r>
                        <w:r w:rsidR="006051BB">
                          <w:rPr>
                            <w:rFonts w:ascii="Helvetica" w:hAnsi="Helvetica" w:cs="Helvetica"/>
                          </w:rPr>
                          <w:t>isclosure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s.</w:t>
                        </w:r>
                      </w:p>
                      <w:p w:rsidR="007F7534" w:rsidRDefault="00852F07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CCMA’s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7F2F76">
                          <w:rPr>
                            <w:rFonts w:ascii="Helvetica" w:hAnsi="Helvetica" w:cs="Helvetica"/>
                          </w:rPr>
                          <w:t>Government Industry Alert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 xml:space="preserve"> can be found at </w:t>
                        </w:r>
                        <w:hyperlink r:id="rId9" w:tgtFrame="_blank" w:history="1">
                          <w:r w:rsidR="007F7534">
                            <w:rPr>
                              <w:rStyle w:val="Hyperlink"/>
                              <w:rFonts w:ascii="Helvetica" w:hAnsi="Helvetica" w:cs="Helvetica"/>
                            </w:rPr>
                            <w:t>https://www.calcpa.org/members/technical-resources/gaa-white-papers</w:t>
                          </w:r>
                        </w:hyperlink>
                        <w:r w:rsidR="007F7534">
                          <w:rPr>
                            <w:rFonts w:ascii="Helvetica" w:hAnsi="Helvetica" w:cs="Helvetica"/>
                          </w:rPr>
                          <w:t xml:space="preserve">. </w:t>
                        </w:r>
                      </w:p>
                      <w:p w:rsidR="00852F07" w:rsidRDefault="00852F07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The Government Finance Officers Association (GFOA) also released guidance on debt management and disclosure responsibilities during the COVID-19 crisis</w:t>
                        </w:r>
                        <w:r w:rsidR="002A51EA">
                          <w:rPr>
                            <w:rFonts w:ascii="Helvetica" w:hAnsi="Helvetica" w:cs="Helvetica"/>
                          </w:rPr>
                          <w:t xml:space="preserve">, which can be found at </w:t>
                        </w:r>
                        <w:hyperlink r:id="rId10" w:history="1">
                          <w:r w:rsidR="00DD0ACA" w:rsidRPr="00DD0ACA">
                            <w:rPr>
                              <w:rStyle w:val="Hyperlink"/>
                              <w:rFonts w:ascii="Helvetica" w:hAnsi="Helvetica" w:cs="Helvetica"/>
                            </w:rPr>
                            <w:t>https://www.gfoa.org/covid19-debt-disclosures</w:t>
                          </w:r>
                        </w:hyperlink>
                        <w:r w:rsidR="00DD0ACA">
                          <w:t xml:space="preserve">. </w:t>
                        </w:r>
                        <w:r>
                          <w:rPr>
                            <w:rFonts w:ascii="Helvetica" w:hAnsi="Helvetica" w:cs="Helvetica"/>
                          </w:rPr>
                          <w:t>GFOA’s guidance outlines important considerations on a number of</w:t>
                        </w:r>
                        <w:r w:rsidR="002A51EA">
                          <w:rPr>
                            <w:rFonts w:ascii="Helvetica" w:hAnsi="Helvetica" w:cs="Helvetica"/>
                          </w:rPr>
                          <w:t xml:space="preserve"> debt-related </w:t>
                        </w:r>
                        <w:r>
                          <w:rPr>
                            <w:rFonts w:ascii="Helvetica" w:hAnsi="Helvetica" w:cs="Helvetica"/>
                          </w:rPr>
                          <w:t>issues</w:t>
                        </w:r>
                        <w:r w:rsidR="00A670CA">
                          <w:rPr>
                            <w:rFonts w:ascii="Helvetica" w:hAnsi="Helvetica" w:cs="Helvetica"/>
                          </w:rPr>
                          <w:t>,</w:t>
                        </w:r>
                        <w:r>
                          <w:rPr>
                            <w:rFonts w:ascii="Helvetica" w:hAnsi="Helvetica" w:cs="Helvetica"/>
                          </w:rPr>
                          <w:t xml:space="preserve"> such as disclosure</w:t>
                        </w:r>
                        <w:r w:rsidR="002A51EA">
                          <w:rPr>
                            <w:rFonts w:ascii="Helvetica" w:hAnsi="Helvetica" w:cs="Helvetica"/>
                          </w:rPr>
                          <w:t>s related to COVID-19, material event filings and post-issu</w:t>
                        </w:r>
                        <w:bookmarkStart w:id="1" w:name="_GoBack"/>
                        <w:bookmarkEnd w:id="1"/>
                        <w:r w:rsidR="002A51EA">
                          <w:rPr>
                            <w:rFonts w:ascii="Helvetica" w:hAnsi="Helvetica" w:cs="Helvetica"/>
                          </w:rPr>
                          <w:t>ance compliance for federal tax purposes/arbitrage. For example, GFOA suggests that w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t xml:space="preserve">hen discussing impacts </w:t>
                        </w:r>
                        <w:r w:rsidR="002A51EA">
                          <w:rPr>
                            <w:rFonts w:ascii="Helvetica" w:hAnsi="Helvetica" w:cs="Helvetica"/>
                          </w:rPr>
                          <w:t>of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t xml:space="preserve"> COVID-19 with investors, governments should be careful about making “selective 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lastRenderedPageBreak/>
                          <w:t xml:space="preserve">disclosures”. Material information should be available to everyone on an equal basis.  Governments should be careful about providing information that has not yet been disclosed on their website or filed </w:t>
                        </w:r>
                        <w:r w:rsidR="00A670CA">
                          <w:rPr>
                            <w:rFonts w:ascii="Helvetica" w:hAnsi="Helvetica" w:cs="Helvetica"/>
                          </w:rPr>
                          <w:t>with</w:t>
                        </w:r>
                        <w:r w:rsidR="00A670CA" w:rsidRPr="002A51EA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t>EMMA. Similar care should be taken with Rating Agencies</w:t>
                        </w:r>
                        <w:r w:rsidR="00A670CA">
                          <w:rPr>
                            <w:rFonts w:ascii="Helvetica" w:hAnsi="Helvetica" w:cs="Helvetica"/>
                          </w:rPr>
                          <w:t>.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t xml:space="preserve"> </w:t>
                        </w:r>
                        <w:r w:rsidR="00A670CA">
                          <w:rPr>
                            <w:rFonts w:ascii="Helvetica" w:hAnsi="Helvetica" w:cs="Helvetica"/>
                          </w:rPr>
                          <w:t xml:space="preserve"> Governments should clearly identify to Rating Agencies which information provided to them is nonpublic and not available for dissemination</w:t>
                        </w:r>
                        <w:r w:rsidR="002A51EA" w:rsidRPr="002A51EA">
                          <w:rPr>
                            <w:rFonts w:ascii="Helvetica" w:hAnsi="Helvetica" w:cs="Helvetica"/>
                          </w:rPr>
                          <w:t>.</w:t>
                        </w:r>
                      </w:p>
                      <w:p w:rsidR="0063756D" w:rsidRDefault="003A52D6" w:rsidP="007F7534">
                        <w:pPr>
                          <w:spacing w:before="100" w:beforeAutospacing="1" w:after="100" w:afterAutospacing="1" w:line="360" w:lineRule="auto"/>
                          <w:rPr>
                            <w:rFonts w:ascii="Helvetica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t>I</w:t>
                        </w:r>
                        <w:r w:rsidR="007F7534">
                          <w:rPr>
                            <w:rFonts w:ascii="Helvetica" w:hAnsi="Helvetica" w:cs="Helvetica"/>
                          </w:rPr>
                          <w:t>f you have questions regarding this topic, contact Jason Al-Imam, Chair of the Professional Standards Committee at</w:t>
                        </w:r>
                        <w:r w:rsidR="007F7534">
                          <w:rPr>
                            <w:rFonts w:ascii="Helvetica" w:hAnsi="Helvetica" w:cs="Helvetica"/>
                            <w:color w:val="202020"/>
                          </w:rPr>
                          <w:t> </w:t>
                        </w:r>
                        <w:hyperlink r:id="rId11" w:tgtFrame="_blank" w:history="1">
                          <w:r w:rsidR="007F7534">
                            <w:rPr>
                              <w:rStyle w:val="Hyperlink"/>
                              <w:rFonts w:ascii="Helvetica" w:hAnsi="Helvetica" w:cs="Helvetica"/>
                              <w:color w:val="007C89"/>
                            </w:rPr>
                            <w:t>standards.chair@csmfo.org</w:t>
                          </w:r>
                        </w:hyperlink>
                        <w:r w:rsidR="007F7534">
                          <w:rPr>
                            <w:rFonts w:ascii="Helvetica" w:hAnsi="Helvetica" w:cs="Helvetica"/>
                            <w:color w:val="202020"/>
                          </w:rPr>
                          <w:t xml:space="preserve">. </w:t>
                        </w:r>
                      </w:p>
                    </w:tc>
                  </w:tr>
                </w:tbl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D335AA" w:rsidRDefault="00D335AA" w:rsidP="006C2078"/>
    <w:sectPr w:rsidR="00D335AA" w:rsidSect="00A870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16" w:rsidRDefault="00090516" w:rsidP="007F3BD5">
      <w:r>
        <w:separator/>
      </w:r>
    </w:p>
  </w:endnote>
  <w:endnote w:type="continuationSeparator" w:id="0">
    <w:p w:rsidR="00090516" w:rsidRDefault="00090516" w:rsidP="007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16" w:rsidRDefault="00090516" w:rsidP="007F3BD5">
      <w:r>
        <w:separator/>
      </w:r>
    </w:p>
  </w:footnote>
  <w:footnote w:type="continuationSeparator" w:id="0">
    <w:p w:rsidR="00090516" w:rsidRDefault="00090516" w:rsidP="007F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AAC"/>
    <w:multiLevelType w:val="hybridMultilevel"/>
    <w:tmpl w:val="1840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01F"/>
    <w:multiLevelType w:val="hybridMultilevel"/>
    <w:tmpl w:val="869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56"/>
    <w:rsid w:val="00003DC4"/>
    <w:rsid w:val="0008751F"/>
    <w:rsid w:val="00090516"/>
    <w:rsid w:val="00172C4C"/>
    <w:rsid w:val="00227CDA"/>
    <w:rsid w:val="002A51EA"/>
    <w:rsid w:val="00324803"/>
    <w:rsid w:val="00355C23"/>
    <w:rsid w:val="00371884"/>
    <w:rsid w:val="003A52D6"/>
    <w:rsid w:val="003C6318"/>
    <w:rsid w:val="00401FE2"/>
    <w:rsid w:val="0042302B"/>
    <w:rsid w:val="005273DE"/>
    <w:rsid w:val="0055255B"/>
    <w:rsid w:val="0055491B"/>
    <w:rsid w:val="005C180A"/>
    <w:rsid w:val="005F7814"/>
    <w:rsid w:val="006051BB"/>
    <w:rsid w:val="00620484"/>
    <w:rsid w:val="0063756D"/>
    <w:rsid w:val="00645FD5"/>
    <w:rsid w:val="0067324A"/>
    <w:rsid w:val="006C2078"/>
    <w:rsid w:val="006D06CF"/>
    <w:rsid w:val="006E45AE"/>
    <w:rsid w:val="007524D0"/>
    <w:rsid w:val="00785982"/>
    <w:rsid w:val="007D572E"/>
    <w:rsid w:val="007F2F76"/>
    <w:rsid w:val="007F3BD5"/>
    <w:rsid w:val="007F7534"/>
    <w:rsid w:val="00810071"/>
    <w:rsid w:val="00852F07"/>
    <w:rsid w:val="009030FF"/>
    <w:rsid w:val="00921E2A"/>
    <w:rsid w:val="00934205"/>
    <w:rsid w:val="00981236"/>
    <w:rsid w:val="009E63FC"/>
    <w:rsid w:val="009F067F"/>
    <w:rsid w:val="00A20E7D"/>
    <w:rsid w:val="00A670CA"/>
    <w:rsid w:val="00A87066"/>
    <w:rsid w:val="00AD6974"/>
    <w:rsid w:val="00B835B4"/>
    <w:rsid w:val="00B90556"/>
    <w:rsid w:val="00B919BB"/>
    <w:rsid w:val="00BB0406"/>
    <w:rsid w:val="00BB0548"/>
    <w:rsid w:val="00BB4C47"/>
    <w:rsid w:val="00C041E3"/>
    <w:rsid w:val="00C4759F"/>
    <w:rsid w:val="00C60DFF"/>
    <w:rsid w:val="00CE10A5"/>
    <w:rsid w:val="00D335AA"/>
    <w:rsid w:val="00DB730A"/>
    <w:rsid w:val="00DD0ACA"/>
    <w:rsid w:val="00E25F0F"/>
    <w:rsid w:val="00E66646"/>
    <w:rsid w:val="00E77C13"/>
    <w:rsid w:val="00EB27B1"/>
    <w:rsid w:val="00EC1C62"/>
    <w:rsid w:val="00EC71CC"/>
    <w:rsid w:val="00EC75EA"/>
    <w:rsid w:val="00F20711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AEF10"/>
  <w15:chartTrackingRefBased/>
  <w15:docId w15:val="{4EB855E9-4DB8-4302-A0AB-BB4A82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2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37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D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3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3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6D"/>
    <w:rPr>
      <w:b/>
      <w:bCs/>
    </w:rPr>
  </w:style>
  <w:style w:type="paragraph" w:styleId="ListParagraph">
    <w:name w:val="List Paragraph"/>
    <w:basedOn w:val="Normal"/>
    <w:uiPriority w:val="34"/>
    <w:qFormat/>
    <w:rsid w:val="00401F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51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dards.chair@csmf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foa.org/covid19-debt-disclos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cpa.org/members/technical-resources/gaa-white-pap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Al-Imam</dc:creator>
  <cp:keywords/>
  <dc:description/>
  <cp:lastModifiedBy>Al-Imam, Jason</cp:lastModifiedBy>
  <cp:revision>4</cp:revision>
  <cp:lastPrinted>2020-05-07T16:12:00Z</cp:lastPrinted>
  <dcterms:created xsi:type="dcterms:W3CDTF">2020-05-07T19:37:00Z</dcterms:created>
  <dcterms:modified xsi:type="dcterms:W3CDTF">2020-08-25T16:30:00Z</dcterms:modified>
</cp:coreProperties>
</file>