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63756D" w14:paraId="70568FF0" w14:textId="77777777" w:rsidTr="0063756D">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63756D" w14:paraId="51F2672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63756D" w14:paraId="07B0E19C" w14:textId="77777777" w:rsidTr="0063756D">
                    <w:tc>
                      <w:tcPr>
                        <w:tcW w:w="0" w:type="auto"/>
                        <w:shd w:val="clear" w:color="auto" w:fill="auto"/>
                        <w:tcMar>
                          <w:top w:w="0" w:type="dxa"/>
                          <w:left w:w="135" w:type="dxa"/>
                          <w:bottom w:w="0" w:type="dxa"/>
                          <w:right w:w="135" w:type="dxa"/>
                        </w:tcMar>
                        <w:hideMark/>
                      </w:tcPr>
                      <w:p w14:paraId="4F9AFB8B" w14:textId="77777777" w:rsidR="0063756D" w:rsidRDefault="0063756D">
                        <w:pPr>
                          <w:jc w:val="center"/>
                          <w:rPr>
                            <w:rFonts w:ascii="Times New Roman" w:hAnsi="Times New Roman" w:cs="Times New Roman"/>
                          </w:rPr>
                        </w:pPr>
                        <w:r>
                          <w:rPr>
                            <w:noProof/>
                          </w:rPr>
                          <w:drawing>
                            <wp:inline distT="0" distB="0" distL="0" distR="0" wp14:anchorId="0A155FB3" wp14:editId="710518DC">
                              <wp:extent cx="948690" cy="798195"/>
                              <wp:effectExtent l="0" t="0" r="3810" b="1905"/>
                              <wp:docPr id="4" name="Picture 4" descr="https://gallery.mailchimp.com/930bb0fab56bfc2a1e3383126/images/b3d23eea-c2ed-427c-a336-f976d60acf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930bb0fab56bfc2a1e3383126/images/b3d23eea-c2ed-427c-a336-f976d60acf3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8690" cy="798195"/>
                                      </a:xfrm>
                                      <a:prstGeom prst="rect">
                                        <a:avLst/>
                                      </a:prstGeom>
                                      <a:noFill/>
                                      <a:ln>
                                        <a:noFill/>
                                      </a:ln>
                                    </pic:spPr>
                                  </pic:pic>
                                </a:graphicData>
                              </a:graphic>
                            </wp:inline>
                          </w:drawing>
                        </w:r>
                      </w:p>
                    </w:tc>
                  </w:tr>
                </w:tbl>
                <w:p w14:paraId="27CBD68B" w14:textId="77777777" w:rsidR="0063756D" w:rsidRDefault="0063756D"/>
              </w:tc>
            </w:tr>
          </w:tbl>
          <w:p w14:paraId="5B6C99D6" w14:textId="77777777" w:rsidR="0063756D" w:rsidRDefault="0063756D">
            <w:pPr>
              <w:rPr>
                <w:color w:val="000000"/>
                <w:sz w:val="27"/>
                <w:szCs w:val="27"/>
              </w:rPr>
            </w:pPr>
          </w:p>
        </w:tc>
      </w:tr>
      <w:tr w:rsidR="0063756D" w14:paraId="68502B86" w14:textId="77777777" w:rsidTr="0063756D">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63756D" w14:paraId="4E2A70C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3756D" w14:paraId="1B544EF9" w14:textId="77777777">
                    <w:tc>
                      <w:tcPr>
                        <w:tcW w:w="0" w:type="auto"/>
                        <w:tcMar>
                          <w:top w:w="0" w:type="dxa"/>
                          <w:left w:w="270" w:type="dxa"/>
                          <w:bottom w:w="135" w:type="dxa"/>
                          <w:right w:w="270" w:type="dxa"/>
                        </w:tcMar>
                        <w:hideMark/>
                      </w:tcPr>
                      <w:p w14:paraId="43DCEB4A" w14:textId="77777777" w:rsidR="0063756D" w:rsidRDefault="0063756D">
                        <w:pPr>
                          <w:pStyle w:val="Heading1"/>
                          <w:spacing w:before="0" w:beforeAutospacing="0" w:after="0" w:afterAutospacing="0" w:line="488" w:lineRule="atLeast"/>
                          <w:jc w:val="center"/>
                          <w:rPr>
                            <w:rFonts w:ascii="Helvetica" w:hAnsi="Helvetica" w:cs="Helvetica"/>
                            <w:color w:val="202020"/>
                            <w:sz w:val="39"/>
                            <w:szCs w:val="39"/>
                          </w:rPr>
                        </w:pPr>
                        <w:r>
                          <w:rPr>
                            <w:rFonts w:ascii="Helvetica" w:hAnsi="Helvetica" w:cs="Helvetica"/>
                            <w:color w:val="202020"/>
                            <w:sz w:val="39"/>
                            <w:szCs w:val="39"/>
                          </w:rPr>
                          <w:t>Professional Standards</w:t>
                        </w:r>
                        <w:r>
                          <w:rPr>
                            <w:rFonts w:ascii="Helvetica" w:hAnsi="Helvetica" w:cs="Helvetica"/>
                            <w:color w:val="202020"/>
                            <w:sz w:val="39"/>
                            <w:szCs w:val="39"/>
                          </w:rPr>
                          <w:br/>
                          <w:t>Committee Highlights</w:t>
                        </w:r>
                      </w:p>
                      <w:p w14:paraId="0D3B4E87" w14:textId="77777777" w:rsidR="00BF17EC" w:rsidRPr="00BF17EC" w:rsidRDefault="00BF17EC" w:rsidP="00BF17EC">
                        <w:pPr>
                          <w:pStyle w:val="NormalWeb"/>
                          <w:spacing w:before="0" w:beforeAutospacing="0" w:after="0" w:afterAutospacing="0"/>
                          <w:jc w:val="center"/>
                          <w:rPr>
                            <w:rStyle w:val="Strong"/>
                            <w:sz w:val="16"/>
                            <w:szCs w:val="16"/>
                          </w:rPr>
                        </w:pPr>
                      </w:p>
                      <w:p w14:paraId="37403FF3" w14:textId="53DD8707" w:rsidR="0016774C" w:rsidRDefault="003C0EEE" w:rsidP="001F6169">
                        <w:pPr>
                          <w:pStyle w:val="NormalWeb"/>
                          <w:spacing w:before="0" w:beforeAutospacing="0" w:after="0" w:afterAutospacing="0"/>
                          <w:jc w:val="center"/>
                          <w:rPr>
                            <w:rStyle w:val="Strong"/>
                            <w:rFonts w:ascii="Helvetica" w:hAnsi="Helvetica" w:cs="Helvetica"/>
                            <w:sz w:val="30"/>
                            <w:szCs w:val="30"/>
                          </w:rPr>
                        </w:pPr>
                        <w:r>
                          <w:rPr>
                            <w:rStyle w:val="Strong"/>
                            <w:rFonts w:ascii="Helvetica" w:hAnsi="Helvetica" w:cs="Helvetica"/>
                            <w:sz w:val="30"/>
                            <w:szCs w:val="30"/>
                          </w:rPr>
                          <w:t>ADDITIONAL SINGLE AUDIT GUIDANCE</w:t>
                        </w:r>
                        <w:r w:rsidR="0016774C">
                          <w:rPr>
                            <w:rStyle w:val="Strong"/>
                            <w:rFonts w:ascii="Helvetica" w:hAnsi="Helvetica" w:cs="Helvetica"/>
                            <w:sz w:val="30"/>
                            <w:szCs w:val="30"/>
                          </w:rPr>
                          <w:t xml:space="preserve"> </w:t>
                        </w:r>
                      </w:p>
                      <w:p w14:paraId="36E21BE1" w14:textId="475BE245" w:rsidR="0063756D" w:rsidRDefault="003C0EEE" w:rsidP="001F6169">
                        <w:pPr>
                          <w:pStyle w:val="NormalWeb"/>
                          <w:spacing w:before="0" w:beforeAutospacing="0" w:after="0" w:afterAutospacing="0"/>
                          <w:jc w:val="center"/>
                          <w:rPr>
                            <w:rFonts w:ascii="Helvetica" w:hAnsi="Helvetica" w:cs="Helvetica"/>
                            <w:color w:val="202020"/>
                          </w:rPr>
                        </w:pPr>
                        <w:r>
                          <w:rPr>
                            <w:rStyle w:val="Strong"/>
                            <w:rFonts w:ascii="Helvetica" w:hAnsi="Helvetica" w:cs="Helvetica"/>
                            <w:sz w:val="30"/>
                            <w:szCs w:val="30"/>
                          </w:rPr>
                          <w:t>RELATED TO COVID-19 AWARDS</w:t>
                        </w:r>
                      </w:p>
                    </w:tc>
                  </w:tr>
                </w:tbl>
                <w:p w14:paraId="0C665DD5" w14:textId="77777777" w:rsidR="0063756D" w:rsidRDefault="0063756D">
                  <w:pPr>
                    <w:rPr>
                      <w:rFonts w:ascii="Times New Roman" w:hAnsi="Times New Roman" w:cs="Times New Roman"/>
                    </w:rPr>
                  </w:pPr>
                </w:p>
              </w:tc>
            </w:tr>
          </w:tbl>
          <w:p w14:paraId="4D351ED7" w14:textId="77777777" w:rsidR="0063756D" w:rsidRDefault="0063756D">
            <w:pPr>
              <w:rPr>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63756D" w14:paraId="3846089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63756D" w14:paraId="641EA301" w14:textId="77777777">
                    <w:tc>
                      <w:tcPr>
                        <w:tcW w:w="0" w:type="auto"/>
                        <w:tcMar>
                          <w:top w:w="0" w:type="dxa"/>
                          <w:left w:w="135" w:type="dxa"/>
                          <w:bottom w:w="0" w:type="dxa"/>
                          <w:right w:w="135" w:type="dxa"/>
                        </w:tcMar>
                        <w:hideMark/>
                      </w:tcPr>
                      <w:p w14:paraId="09ECFFD1" w14:textId="77777777" w:rsidR="0063756D" w:rsidRDefault="0063756D">
                        <w:pPr>
                          <w:jc w:val="center"/>
                          <w:rPr>
                            <w:sz w:val="24"/>
                            <w:szCs w:val="24"/>
                          </w:rPr>
                        </w:pPr>
                      </w:p>
                    </w:tc>
                  </w:tr>
                </w:tbl>
                <w:p w14:paraId="06605268" w14:textId="77777777" w:rsidR="0063756D" w:rsidRDefault="0063756D"/>
              </w:tc>
            </w:tr>
          </w:tbl>
          <w:p w14:paraId="71C56F03" w14:textId="77777777" w:rsidR="0063756D" w:rsidRDefault="0063756D">
            <w:pPr>
              <w:rPr>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63756D" w14:paraId="3EF9B61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3756D" w14:paraId="3319BA01" w14:textId="77777777">
                    <w:tc>
                      <w:tcPr>
                        <w:tcW w:w="0" w:type="auto"/>
                        <w:tcMar>
                          <w:top w:w="0" w:type="dxa"/>
                          <w:left w:w="270" w:type="dxa"/>
                          <w:bottom w:w="135" w:type="dxa"/>
                          <w:right w:w="270" w:type="dxa"/>
                        </w:tcMar>
                        <w:hideMark/>
                      </w:tcPr>
                      <w:p w14:paraId="3E40A938" w14:textId="4A1E3AC3" w:rsidR="00BF17EC" w:rsidRDefault="000B1E11" w:rsidP="00BF17EC">
                        <w:pPr>
                          <w:jc w:val="center"/>
                        </w:pPr>
                        <w:r>
                          <w:rPr>
                            <w:noProof/>
                          </w:rPr>
                          <w:drawing>
                            <wp:inline distT="0" distB="0" distL="0" distR="0" wp14:anchorId="27972C7F" wp14:editId="33F66E74">
                              <wp:extent cx="5705475" cy="3011223"/>
                              <wp:effectExtent l="0" t="0" r="0" b="0"/>
                              <wp:docPr id="2" name="Picture 2" descr="Guidance for single audits provided in OMB compliance addendum - Journal of  Account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idance for single audits provided in OMB compliance addendum - Journal of  Accountan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6192" cy="3032712"/>
                                      </a:xfrm>
                                      <a:prstGeom prst="rect">
                                        <a:avLst/>
                                      </a:prstGeom>
                                      <a:noFill/>
                                      <a:ln>
                                        <a:noFill/>
                                      </a:ln>
                                    </pic:spPr>
                                  </pic:pic>
                                </a:graphicData>
                              </a:graphic>
                            </wp:inline>
                          </w:drawing>
                        </w:r>
                      </w:p>
                      <w:tbl>
                        <w:tblPr>
                          <w:tblpPr w:leftFromText="45" w:rightFromText="45" w:vertAnchor="text"/>
                          <w:tblW w:w="5000" w:type="pct"/>
                          <w:tblCellMar>
                            <w:left w:w="0" w:type="dxa"/>
                            <w:right w:w="0" w:type="dxa"/>
                          </w:tblCellMar>
                          <w:tblLook w:val="04A0" w:firstRow="1" w:lastRow="0" w:firstColumn="1" w:lastColumn="0" w:noHBand="0" w:noVBand="1"/>
                        </w:tblPr>
                        <w:tblGrid>
                          <w:gridCol w:w="8820"/>
                        </w:tblGrid>
                        <w:tr w:rsidR="00BF17EC" w14:paraId="3C7BFCD7" w14:textId="77777777" w:rsidTr="00BF17EC">
                          <w:tc>
                            <w:tcPr>
                              <w:tcW w:w="0" w:type="auto"/>
                              <w:tcMar>
                                <w:top w:w="0" w:type="dxa"/>
                                <w:left w:w="270" w:type="dxa"/>
                                <w:bottom w:w="135" w:type="dxa"/>
                                <w:right w:w="270" w:type="dxa"/>
                              </w:tcMar>
                              <w:hideMark/>
                            </w:tcPr>
                            <w:p w14:paraId="51A8AF2C" w14:textId="77777777" w:rsidR="00BF17EC" w:rsidRDefault="00BF17EC" w:rsidP="003C0EEE">
                              <w:pPr>
                                <w:rPr>
                                  <w:rFonts w:ascii="Helvetica" w:hAnsi="Helvetica" w:cs="Helvetica"/>
                                </w:rPr>
                              </w:pPr>
                            </w:p>
                            <w:p w14:paraId="356341C8" w14:textId="55581182" w:rsidR="003C0EEE" w:rsidRPr="003C0EEE" w:rsidRDefault="003C0EEE" w:rsidP="003C0EEE">
                              <w:pPr>
                                <w:spacing w:before="100" w:beforeAutospacing="1" w:after="100" w:afterAutospacing="1" w:line="360" w:lineRule="auto"/>
                                <w:rPr>
                                  <w:rFonts w:ascii="Helvetica" w:hAnsi="Helvetica" w:cs="Helvetica"/>
                                </w:rPr>
                              </w:pPr>
                              <w:bookmarkStart w:id="0" w:name="_Hlk55467867"/>
                              <w:bookmarkStart w:id="1" w:name="_Hlk50963257"/>
                              <w:r w:rsidRPr="003C0EEE">
                                <w:rPr>
                                  <w:rFonts w:ascii="Helvetica" w:hAnsi="Helvetica" w:cs="Helvetica"/>
                                </w:rPr>
                                <w:t xml:space="preserve">An Addendum to the 2020 OMB </w:t>
                              </w:r>
                              <w:bookmarkStart w:id="2" w:name="_GoBack"/>
                              <w:bookmarkEnd w:id="2"/>
                              <w:r w:rsidRPr="003C0EEE">
                                <w:rPr>
                                  <w:rFonts w:ascii="Helvetica" w:hAnsi="Helvetica" w:cs="Helvetica"/>
                                </w:rPr>
                                <w:t>Compliance Supplement (2 CFR Part 200, Appendix XI) was released on December 22, 2020 by the Office of Management and Budget (OMB</w:t>
                              </w:r>
                              <w:r>
                                <w:rPr>
                                  <w:rFonts w:ascii="Helvetica" w:hAnsi="Helvetica" w:cs="Helvetica"/>
                                </w:rPr>
                                <w:t>)</w:t>
                              </w:r>
                              <w:r w:rsidRPr="003C0EEE">
                                <w:rPr>
                                  <w:rFonts w:ascii="Helvetica" w:hAnsi="Helvetica" w:cs="Helvetica"/>
                                </w:rPr>
                                <w:t xml:space="preserve"> to provide guidance for programs with expenditures of federally funded COVID-19 awards such as funds awarded under the Coronavirus Aid, Relief, and Economic Security Act (CARES Act).  The Addendum outlines compliance requirements and suggested audit procedures that the federal government expects to be considered as part of the Single Audit for fiscal years beginning after June 30, 2019.</w:t>
                              </w:r>
                            </w:p>
                            <w:p w14:paraId="066BE550" w14:textId="77777777" w:rsidR="003C0EEE" w:rsidRPr="003C0EEE" w:rsidRDefault="003C0EEE" w:rsidP="003C0EEE">
                              <w:pPr>
                                <w:spacing w:before="100" w:beforeAutospacing="1" w:after="100" w:afterAutospacing="1" w:line="360" w:lineRule="auto"/>
                                <w:rPr>
                                  <w:rFonts w:ascii="Helvetica" w:hAnsi="Helvetica" w:cs="Helvetica"/>
                                </w:rPr>
                              </w:pPr>
                              <w:r w:rsidRPr="003C0EEE">
                                <w:rPr>
                                  <w:rFonts w:ascii="Helvetica" w:hAnsi="Helvetica" w:cs="Helvetica"/>
                                </w:rPr>
                                <w:t xml:space="preserve">In light of the late issuance of audit guidance, the due date for the Single Audit reporting package for recipients and subrecipients that received COVID-19 funding may be extended up to three (3) months beyond the normal due date for those with original due dates from October 1, 2020, through June 30, 2021. For example, a Single Audit with a fiscal year end of June 30, 2020 that received COVID-19 funding </w:t>
                              </w:r>
                              <w:r w:rsidRPr="003C0EEE">
                                <w:rPr>
                                  <w:rFonts w:ascii="Helvetica" w:hAnsi="Helvetica" w:cs="Helvetica"/>
                                </w:rPr>
                                <w:lastRenderedPageBreak/>
                                <w:t>is now due June 30, 2021, instead of March 31, 2021. There is no requirement for individual recipients or subrecipients to seek approval for the extension; however, the Addendum advises that recipients and subrecipients maintain documentation of the reason for the delayed filing.</w:t>
                              </w:r>
                            </w:p>
                            <w:p w14:paraId="1F479050" w14:textId="1AA86828" w:rsidR="00BF17EC" w:rsidRDefault="003C0EEE" w:rsidP="003C0EEE">
                              <w:pPr>
                                <w:spacing w:before="100" w:beforeAutospacing="1" w:after="100" w:afterAutospacing="1" w:line="360" w:lineRule="auto"/>
                                <w:rPr>
                                  <w:rFonts w:ascii="Helvetica" w:hAnsi="Helvetica" w:cs="Helvetica"/>
                                </w:rPr>
                              </w:pPr>
                              <w:r w:rsidRPr="003C0EEE">
                                <w:rPr>
                                  <w:rFonts w:ascii="Helvetica" w:hAnsi="Helvetica" w:cs="Helvetica"/>
                                </w:rPr>
                                <w:t xml:space="preserve">The full text of the Addendum to the 2020 OMB Compliance Supplement can be found at </w:t>
                              </w:r>
                              <w:hyperlink r:id="rId9" w:history="1">
                                <w:r w:rsidRPr="00324C2C">
                                  <w:rPr>
                                    <w:rStyle w:val="Hyperlink"/>
                                    <w:rFonts w:ascii="Helvetica" w:hAnsi="Helvetica" w:cs="Helvetica"/>
                                  </w:rPr>
                                  <w:t>https://www.whitehouse.gov/wp-content/uploads/2020/12/2020-Compliance-Supplement-Addendum_Final.pdf</w:t>
                                </w:r>
                              </w:hyperlink>
                              <w:bookmarkEnd w:id="0"/>
                              <w:bookmarkEnd w:id="1"/>
                              <w:r>
                                <w:rPr>
                                  <w:rFonts w:ascii="Helvetica" w:hAnsi="Helvetica" w:cs="Helvetica"/>
                                </w:rPr>
                                <w:t xml:space="preserve">. </w:t>
                              </w:r>
                            </w:p>
                            <w:p w14:paraId="7613AC3A" w14:textId="77777777" w:rsidR="00816412" w:rsidRDefault="00816412" w:rsidP="00816412">
                              <w:pPr>
                                <w:spacing w:before="100" w:beforeAutospacing="1" w:after="100" w:afterAutospacing="1" w:line="360" w:lineRule="auto"/>
                                <w:rPr>
                                  <w:rFonts w:ascii="Helvetica" w:hAnsi="Helvetica" w:cs="Helvetica"/>
                                </w:rPr>
                              </w:pPr>
                              <w:r>
                                <w:rPr>
                                  <w:rFonts w:ascii="Helvetica" w:hAnsi="Helvetica" w:cs="Helvetica"/>
                                </w:rPr>
                                <w:t xml:space="preserve">You can also find Committee Highlights on other topics at </w:t>
                              </w:r>
                              <w:hyperlink r:id="rId10" w:history="1">
                                <w:r>
                                  <w:rPr>
                                    <w:rStyle w:val="Hyperlink"/>
                                    <w:rFonts w:ascii="Helvetica" w:hAnsi="Helvetica" w:cs="Helvetica"/>
                                  </w:rPr>
                                  <w:t>https://www.csmfo.org/professional-standards-committee-highlights/</w:t>
                                </w:r>
                              </w:hyperlink>
                              <w:r>
                                <w:rPr>
                                  <w:rFonts w:ascii="Helvetica" w:hAnsi="Helvetica" w:cs="Helvetica"/>
                                </w:rPr>
                                <w:t xml:space="preserve">. </w:t>
                              </w:r>
                            </w:p>
                            <w:p w14:paraId="04290D76" w14:textId="77777777" w:rsidR="00816412" w:rsidRDefault="00816412" w:rsidP="00816412">
                              <w:pPr>
                                <w:spacing w:before="100" w:beforeAutospacing="1" w:after="100" w:afterAutospacing="1" w:line="360" w:lineRule="auto"/>
                                <w:rPr>
                                  <w:rFonts w:ascii="Times New Roman" w:hAnsi="Times New Roman" w:cs="Times New Roman"/>
                                </w:rPr>
                              </w:pPr>
                              <w:r>
                                <w:rPr>
                                  <w:rFonts w:ascii="Helvetica" w:hAnsi="Helvetica" w:cs="Helvetica"/>
                                </w:rPr>
                                <w:t>If you have questions regarding this topic, contact Jason Al-Imam, Chair of the Professional Standards Committee at</w:t>
                              </w:r>
                              <w:r>
                                <w:rPr>
                                  <w:rFonts w:ascii="Helvetica" w:hAnsi="Helvetica" w:cs="Helvetica"/>
                                  <w:color w:val="202020"/>
                                </w:rPr>
                                <w:t> </w:t>
                              </w:r>
                              <w:hyperlink r:id="rId11" w:tgtFrame="_blank" w:history="1">
                                <w:r>
                                  <w:rPr>
                                    <w:rStyle w:val="Hyperlink"/>
                                    <w:rFonts w:ascii="Helvetica" w:hAnsi="Helvetica" w:cs="Helvetica"/>
                                    <w:color w:val="007C89"/>
                                  </w:rPr>
                                  <w:t>standards.chair@csmfo.org</w:t>
                                </w:r>
                              </w:hyperlink>
                              <w:r>
                                <w:rPr>
                                  <w:rFonts w:ascii="Helvetica" w:hAnsi="Helvetica" w:cs="Helvetica"/>
                                  <w:color w:val="202020"/>
                                </w:rPr>
                                <w:t xml:space="preserve">. </w:t>
                              </w:r>
                            </w:p>
                            <w:p w14:paraId="35F61D97" w14:textId="77777777" w:rsidR="00816412" w:rsidRDefault="007E32F9" w:rsidP="00816412">
                              <w:pPr>
                                <w:spacing w:line="360" w:lineRule="auto"/>
                                <w:jc w:val="center"/>
                                <w:rPr>
                                  <w:rFonts w:ascii="Helvetica" w:hAnsi="Helvetica" w:cs="Helvetica"/>
                                  <w:color w:val="202020"/>
                                </w:rPr>
                              </w:pPr>
                              <w:r>
                                <w:rPr>
                                  <w:rFonts w:ascii="Helvetica" w:hAnsi="Helvetica" w:cs="Helvetica"/>
                                  <w:color w:val="202020"/>
                                </w:rPr>
                                <w:pict w14:anchorId="20309DF9">
                                  <v:rect id="_x0000_i1025" style="width:414pt;height:1.5pt" o:hralign="center" o:hrstd="t" o:hr="t" fillcolor="#a0a0a0" stroked="f"/>
                                </w:pict>
                              </w:r>
                            </w:p>
                            <w:p w14:paraId="0DB38EDA" w14:textId="3DDA0CC3" w:rsidR="00816412" w:rsidRDefault="00816412" w:rsidP="00816412">
                              <w:pPr>
                                <w:spacing w:before="100" w:beforeAutospacing="1" w:after="100" w:afterAutospacing="1" w:line="360" w:lineRule="auto"/>
                                <w:rPr>
                                  <w:rFonts w:ascii="Times New Roman" w:hAnsi="Times New Roman" w:cs="Times New Roman"/>
                                </w:rPr>
                              </w:pPr>
                              <w:r>
                                <w:rPr>
                                  <w:rStyle w:val="Emphasis"/>
                                  <w:rFonts w:ascii="Helvetica" w:hAnsi="Helvetica" w:cs="Helvetica"/>
                                  <w:color w:val="202020"/>
                                </w:rPr>
                                <w:t>The Professional Standards Committee operates as a technical resource to CSMFO members. The Committee is comprised of municipal and commercial members whose mission is to keep members informed of emerging issues and best practices.</w:t>
                              </w:r>
                            </w:p>
                          </w:tc>
                        </w:tr>
                      </w:tbl>
                      <w:p w14:paraId="7B9F8E0E" w14:textId="712865AF" w:rsidR="0063756D" w:rsidRPr="00BF17EC" w:rsidRDefault="0063756D" w:rsidP="00BF17EC">
                        <w:pPr>
                          <w:spacing w:before="100" w:beforeAutospacing="1" w:after="100" w:afterAutospacing="1" w:line="360" w:lineRule="auto"/>
                          <w:rPr>
                            <w:rFonts w:ascii="Times New Roman" w:hAnsi="Times New Roman" w:cs="Times New Roman"/>
                          </w:rPr>
                        </w:pPr>
                      </w:p>
                    </w:tc>
                  </w:tr>
                </w:tbl>
                <w:p w14:paraId="7D018935" w14:textId="77777777" w:rsidR="0063756D" w:rsidRDefault="0063756D" w:rsidP="00BF17EC">
                  <w:pPr>
                    <w:rPr>
                      <w:rFonts w:ascii="Times New Roman" w:hAnsi="Times New Roman" w:cs="Times New Roman"/>
                    </w:rPr>
                  </w:pPr>
                </w:p>
              </w:tc>
            </w:tr>
          </w:tbl>
          <w:p w14:paraId="0CCB18FA" w14:textId="77777777" w:rsidR="0063756D" w:rsidRDefault="0063756D">
            <w:pPr>
              <w:rPr>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63756D" w14:paraId="521776A7" w14:textId="77777777">
              <w:tc>
                <w:tcPr>
                  <w:tcW w:w="0" w:type="auto"/>
                  <w:tcMar>
                    <w:top w:w="135" w:type="dxa"/>
                    <w:left w:w="0" w:type="dxa"/>
                    <w:bottom w:w="0" w:type="dxa"/>
                    <w:right w:w="0" w:type="dxa"/>
                  </w:tcMar>
                  <w:hideMark/>
                </w:tcPr>
                <w:p w14:paraId="6689DE06" w14:textId="77777777" w:rsidR="0063756D" w:rsidRDefault="0063756D">
                  <w:pPr>
                    <w:rPr>
                      <w:rFonts w:ascii="Times New Roman" w:hAnsi="Times New Roman" w:cs="Times New Roman"/>
                    </w:rPr>
                  </w:pPr>
                </w:p>
              </w:tc>
            </w:tr>
          </w:tbl>
          <w:p w14:paraId="692FC2C7" w14:textId="77777777" w:rsidR="0063756D" w:rsidRDefault="0063756D">
            <w:pPr>
              <w:rPr>
                <w:color w:val="000000"/>
                <w:sz w:val="27"/>
                <w:szCs w:val="27"/>
              </w:rPr>
            </w:pPr>
          </w:p>
        </w:tc>
      </w:tr>
    </w:tbl>
    <w:p w14:paraId="66A2AEB6" w14:textId="437C3E10" w:rsidR="00816412" w:rsidRDefault="00816412" w:rsidP="006C2078"/>
    <w:p w14:paraId="0FD19731" w14:textId="77777777" w:rsidR="00816412" w:rsidRPr="00816412" w:rsidRDefault="00816412" w:rsidP="00816412"/>
    <w:p w14:paraId="1065B1A6" w14:textId="76A1E9B8" w:rsidR="00816412" w:rsidRDefault="00816412" w:rsidP="00816412"/>
    <w:p w14:paraId="3C903D84" w14:textId="0494CC98" w:rsidR="00D335AA" w:rsidRPr="00816412" w:rsidRDefault="00816412" w:rsidP="00816412">
      <w:pPr>
        <w:tabs>
          <w:tab w:val="left" w:pos="3165"/>
        </w:tabs>
      </w:pPr>
      <w:r>
        <w:tab/>
      </w:r>
    </w:p>
    <w:sectPr w:rsidR="00D335AA" w:rsidRPr="00816412" w:rsidSect="00A87066">
      <w:pgSz w:w="12240" w:h="15840"/>
      <w:pgMar w:top="360" w:right="1440" w:bottom="36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93D8" w16cex:dateUtc="2020-11-06T17: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D3912" w14:textId="77777777" w:rsidR="007E32F9" w:rsidRDefault="007E32F9" w:rsidP="007F3BD5">
      <w:r>
        <w:separator/>
      </w:r>
    </w:p>
  </w:endnote>
  <w:endnote w:type="continuationSeparator" w:id="0">
    <w:p w14:paraId="0407CE9B" w14:textId="77777777" w:rsidR="007E32F9" w:rsidRDefault="007E32F9" w:rsidP="007F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3F34D" w14:textId="77777777" w:rsidR="007E32F9" w:rsidRDefault="007E32F9" w:rsidP="007F3BD5">
      <w:r>
        <w:separator/>
      </w:r>
    </w:p>
  </w:footnote>
  <w:footnote w:type="continuationSeparator" w:id="0">
    <w:p w14:paraId="7635779E" w14:textId="77777777" w:rsidR="007E32F9" w:rsidRDefault="007E32F9" w:rsidP="007F3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D474F"/>
    <w:multiLevelType w:val="hybridMultilevel"/>
    <w:tmpl w:val="25C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56"/>
    <w:rsid w:val="00031A25"/>
    <w:rsid w:val="00036B1E"/>
    <w:rsid w:val="00076340"/>
    <w:rsid w:val="000B1E11"/>
    <w:rsid w:val="00114FF6"/>
    <w:rsid w:val="0016774C"/>
    <w:rsid w:val="001801EF"/>
    <w:rsid w:val="001F6169"/>
    <w:rsid w:val="00227CDA"/>
    <w:rsid w:val="00293BC0"/>
    <w:rsid w:val="002A3BE3"/>
    <w:rsid w:val="002B304D"/>
    <w:rsid w:val="00345416"/>
    <w:rsid w:val="00355C23"/>
    <w:rsid w:val="00371884"/>
    <w:rsid w:val="003B2F65"/>
    <w:rsid w:val="003C0EEE"/>
    <w:rsid w:val="00445B14"/>
    <w:rsid w:val="00465A7C"/>
    <w:rsid w:val="004A4DCD"/>
    <w:rsid w:val="004F5579"/>
    <w:rsid w:val="00533FC9"/>
    <w:rsid w:val="0055255B"/>
    <w:rsid w:val="0063756D"/>
    <w:rsid w:val="00645FD5"/>
    <w:rsid w:val="006C2078"/>
    <w:rsid w:val="006D06CF"/>
    <w:rsid w:val="006E45AE"/>
    <w:rsid w:val="00700E67"/>
    <w:rsid w:val="00706AFE"/>
    <w:rsid w:val="00740108"/>
    <w:rsid w:val="007524D0"/>
    <w:rsid w:val="00785982"/>
    <w:rsid w:val="007B00DA"/>
    <w:rsid w:val="007C090A"/>
    <w:rsid w:val="007C1FB2"/>
    <w:rsid w:val="007E32F9"/>
    <w:rsid w:val="007F3BD5"/>
    <w:rsid w:val="007F7534"/>
    <w:rsid w:val="00801833"/>
    <w:rsid w:val="008031F1"/>
    <w:rsid w:val="00806E6B"/>
    <w:rsid w:val="00810071"/>
    <w:rsid w:val="00816412"/>
    <w:rsid w:val="00830EBB"/>
    <w:rsid w:val="00865B29"/>
    <w:rsid w:val="008830CC"/>
    <w:rsid w:val="00893621"/>
    <w:rsid w:val="008C6955"/>
    <w:rsid w:val="00914746"/>
    <w:rsid w:val="00921E2A"/>
    <w:rsid w:val="00967C46"/>
    <w:rsid w:val="00981236"/>
    <w:rsid w:val="0098441D"/>
    <w:rsid w:val="009C09AB"/>
    <w:rsid w:val="009E63FC"/>
    <w:rsid w:val="009F067F"/>
    <w:rsid w:val="00A73F7D"/>
    <w:rsid w:val="00A87066"/>
    <w:rsid w:val="00A975BC"/>
    <w:rsid w:val="00AD6974"/>
    <w:rsid w:val="00B157E3"/>
    <w:rsid w:val="00B835B4"/>
    <w:rsid w:val="00B90556"/>
    <w:rsid w:val="00BA6380"/>
    <w:rsid w:val="00BB0406"/>
    <w:rsid w:val="00BB0548"/>
    <w:rsid w:val="00BC5BDE"/>
    <w:rsid w:val="00BD31A1"/>
    <w:rsid w:val="00BF17EC"/>
    <w:rsid w:val="00C31489"/>
    <w:rsid w:val="00C4446F"/>
    <w:rsid w:val="00C4759F"/>
    <w:rsid w:val="00C60DFF"/>
    <w:rsid w:val="00CE10A5"/>
    <w:rsid w:val="00CE5F0A"/>
    <w:rsid w:val="00CF2519"/>
    <w:rsid w:val="00D03D92"/>
    <w:rsid w:val="00D335AA"/>
    <w:rsid w:val="00D64BDD"/>
    <w:rsid w:val="00D71FA7"/>
    <w:rsid w:val="00D8761D"/>
    <w:rsid w:val="00E02A5C"/>
    <w:rsid w:val="00E13677"/>
    <w:rsid w:val="00E152C9"/>
    <w:rsid w:val="00E66646"/>
    <w:rsid w:val="00E75F0B"/>
    <w:rsid w:val="00EB6872"/>
    <w:rsid w:val="00F20711"/>
    <w:rsid w:val="00FA03D3"/>
    <w:rsid w:val="00FE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4B93D"/>
  <w15:chartTrackingRefBased/>
  <w15:docId w15:val="{4EB855E9-4DB8-4302-A0AB-BB4A8230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E2A"/>
    <w:pPr>
      <w:spacing w:after="0" w:line="240" w:lineRule="auto"/>
    </w:pPr>
    <w:rPr>
      <w:rFonts w:ascii="Calibri" w:hAnsi="Calibri" w:cs="Calibri"/>
    </w:rPr>
  </w:style>
  <w:style w:type="paragraph" w:styleId="Heading1">
    <w:name w:val="heading 1"/>
    <w:basedOn w:val="Normal"/>
    <w:link w:val="Heading1Char"/>
    <w:uiPriority w:val="9"/>
    <w:qFormat/>
    <w:rsid w:val="0063756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6B1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711"/>
    <w:rPr>
      <w:color w:val="0563C1" w:themeColor="hyperlink"/>
      <w:u w:val="single"/>
    </w:rPr>
  </w:style>
  <w:style w:type="paragraph" w:styleId="BalloonText">
    <w:name w:val="Balloon Text"/>
    <w:basedOn w:val="Normal"/>
    <w:link w:val="BalloonTextChar"/>
    <w:uiPriority w:val="99"/>
    <w:semiHidden/>
    <w:unhideWhenUsed/>
    <w:rsid w:val="005525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55B"/>
    <w:rPr>
      <w:rFonts w:ascii="Segoe UI" w:hAnsi="Segoe UI" w:cs="Segoe UI"/>
      <w:sz w:val="18"/>
      <w:szCs w:val="18"/>
    </w:rPr>
  </w:style>
  <w:style w:type="paragraph" w:styleId="Header">
    <w:name w:val="header"/>
    <w:basedOn w:val="Normal"/>
    <w:link w:val="HeaderChar"/>
    <w:uiPriority w:val="99"/>
    <w:unhideWhenUsed/>
    <w:rsid w:val="007F3BD5"/>
    <w:pPr>
      <w:tabs>
        <w:tab w:val="center" w:pos="4680"/>
        <w:tab w:val="right" w:pos="9360"/>
      </w:tabs>
    </w:pPr>
  </w:style>
  <w:style w:type="character" w:customStyle="1" w:styleId="HeaderChar">
    <w:name w:val="Header Char"/>
    <w:basedOn w:val="DefaultParagraphFont"/>
    <w:link w:val="Header"/>
    <w:uiPriority w:val="99"/>
    <w:rsid w:val="007F3BD5"/>
    <w:rPr>
      <w:rFonts w:ascii="Calibri" w:hAnsi="Calibri" w:cs="Calibri"/>
    </w:rPr>
  </w:style>
  <w:style w:type="paragraph" w:styleId="Footer">
    <w:name w:val="footer"/>
    <w:basedOn w:val="Normal"/>
    <w:link w:val="FooterChar"/>
    <w:uiPriority w:val="99"/>
    <w:unhideWhenUsed/>
    <w:rsid w:val="007F3BD5"/>
    <w:pPr>
      <w:tabs>
        <w:tab w:val="center" w:pos="4680"/>
        <w:tab w:val="right" w:pos="9360"/>
      </w:tabs>
    </w:pPr>
  </w:style>
  <w:style w:type="character" w:customStyle="1" w:styleId="FooterChar">
    <w:name w:val="Footer Char"/>
    <w:basedOn w:val="DefaultParagraphFont"/>
    <w:link w:val="Footer"/>
    <w:uiPriority w:val="99"/>
    <w:rsid w:val="007F3BD5"/>
    <w:rPr>
      <w:rFonts w:ascii="Calibri" w:hAnsi="Calibri" w:cs="Calibri"/>
    </w:rPr>
  </w:style>
  <w:style w:type="character" w:customStyle="1" w:styleId="Heading1Char">
    <w:name w:val="Heading 1 Char"/>
    <w:basedOn w:val="DefaultParagraphFont"/>
    <w:link w:val="Heading1"/>
    <w:uiPriority w:val="9"/>
    <w:rsid w:val="0063756D"/>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3756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3756D"/>
    <w:rPr>
      <w:b/>
      <w:bCs/>
    </w:rPr>
  </w:style>
  <w:style w:type="character" w:styleId="Emphasis">
    <w:name w:val="Emphasis"/>
    <w:basedOn w:val="DefaultParagraphFont"/>
    <w:uiPriority w:val="20"/>
    <w:qFormat/>
    <w:rsid w:val="00BF17EC"/>
    <w:rPr>
      <w:i/>
      <w:iCs/>
    </w:rPr>
  </w:style>
  <w:style w:type="paragraph" w:styleId="ListParagraph">
    <w:name w:val="List Paragraph"/>
    <w:basedOn w:val="Normal"/>
    <w:uiPriority w:val="34"/>
    <w:qFormat/>
    <w:rsid w:val="003B2F65"/>
    <w:pPr>
      <w:ind w:left="720"/>
      <w:contextualSpacing/>
    </w:pPr>
  </w:style>
  <w:style w:type="character" w:styleId="UnresolvedMention">
    <w:name w:val="Unresolved Mention"/>
    <w:basedOn w:val="DefaultParagraphFont"/>
    <w:uiPriority w:val="99"/>
    <w:semiHidden/>
    <w:unhideWhenUsed/>
    <w:rsid w:val="001801EF"/>
    <w:rPr>
      <w:color w:val="605E5C"/>
      <w:shd w:val="clear" w:color="auto" w:fill="E1DFDD"/>
    </w:rPr>
  </w:style>
  <w:style w:type="character" w:styleId="CommentReference">
    <w:name w:val="annotation reference"/>
    <w:basedOn w:val="DefaultParagraphFont"/>
    <w:uiPriority w:val="99"/>
    <w:semiHidden/>
    <w:unhideWhenUsed/>
    <w:rsid w:val="008830CC"/>
    <w:rPr>
      <w:sz w:val="16"/>
      <w:szCs w:val="16"/>
    </w:rPr>
  </w:style>
  <w:style w:type="paragraph" w:styleId="CommentText">
    <w:name w:val="annotation text"/>
    <w:basedOn w:val="Normal"/>
    <w:link w:val="CommentTextChar"/>
    <w:uiPriority w:val="99"/>
    <w:semiHidden/>
    <w:unhideWhenUsed/>
    <w:rsid w:val="008830CC"/>
    <w:rPr>
      <w:sz w:val="20"/>
      <w:szCs w:val="20"/>
    </w:rPr>
  </w:style>
  <w:style w:type="character" w:customStyle="1" w:styleId="CommentTextChar">
    <w:name w:val="Comment Text Char"/>
    <w:basedOn w:val="DefaultParagraphFont"/>
    <w:link w:val="CommentText"/>
    <w:uiPriority w:val="99"/>
    <w:semiHidden/>
    <w:rsid w:val="008830C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830CC"/>
    <w:rPr>
      <w:b/>
      <w:bCs/>
    </w:rPr>
  </w:style>
  <w:style w:type="character" w:customStyle="1" w:styleId="CommentSubjectChar">
    <w:name w:val="Comment Subject Char"/>
    <w:basedOn w:val="CommentTextChar"/>
    <w:link w:val="CommentSubject"/>
    <w:uiPriority w:val="99"/>
    <w:semiHidden/>
    <w:rsid w:val="008830CC"/>
    <w:rPr>
      <w:rFonts w:ascii="Calibri" w:hAnsi="Calibri" w:cs="Calibri"/>
      <w:b/>
      <w:bCs/>
      <w:sz w:val="20"/>
      <w:szCs w:val="20"/>
    </w:rPr>
  </w:style>
  <w:style w:type="character" w:customStyle="1" w:styleId="Heading2Char">
    <w:name w:val="Heading 2 Char"/>
    <w:basedOn w:val="DefaultParagraphFont"/>
    <w:link w:val="Heading2"/>
    <w:uiPriority w:val="9"/>
    <w:semiHidden/>
    <w:rsid w:val="00036B1E"/>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0763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52976">
      <w:bodyDiv w:val="1"/>
      <w:marLeft w:val="0"/>
      <w:marRight w:val="0"/>
      <w:marTop w:val="0"/>
      <w:marBottom w:val="0"/>
      <w:divBdr>
        <w:top w:val="none" w:sz="0" w:space="0" w:color="auto"/>
        <w:left w:val="none" w:sz="0" w:space="0" w:color="auto"/>
        <w:bottom w:val="none" w:sz="0" w:space="0" w:color="auto"/>
        <w:right w:val="none" w:sz="0" w:space="0" w:color="auto"/>
      </w:divBdr>
    </w:div>
    <w:div w:id="302125763">
      <w:bodyDiv w:val="1"/>
      <w:marLeft w:val="0"/>
      <w:marRight w:val="0"/>
      <w:marTop w:val="0"/>
      <w:marBottom w:val="0"/>
      <w:divBdr>
        <w:top w:val="none" w:sz="0" w:space="0" w:color="auto"/>
        <w:left w:val="none" w:sz="0" w:space="0" w:color="auto"/>
        <w:bottom w:val="none" w:sz="0" w:space="0" w:color="auto"/>
        <w:right w:val="none" w:sz="0" w:space="0" w:color="auto"/>
      </w:divBdr>
    </w:div>
    <w:div w:id="395587720">
      <w:bodyDiv w:val="1"/>
      <w:marLeft w:val="0"/>
      <w:marRight w:val="0"/>
      <w:marTop w:val="0"/>
      <w:marBottom w:val="0"/>
      <w:divBdr>
        <w:top w:val="none" w:sz="0" w:space="0" w:color="auto"/>
        <w:left w:val="none" w:sz="0" w:space="0" w:color="auto"/>
        <w:bottom w:val="none" w:sz="0" w:space="0" w:color="auto"/>
        <w:right w:val="none" w:sz="0" w:space="0" w:color="auto"/>
      </w:divBdr>
    </w:div>
    <w:div w:id="427849169">
      <w:bodyDiv w:val="1"/>
      <w:marLeft w:val="0"/>
      <w:marRight w:val="0"/>
      <w:marTop w:val="0"/>
      <w:marBottom w:val="0"/>
      <w:divBdr>
        <w:top w:val="none" w:sz="0" w:space="0" w:color="auto"/>
        <w:left w:val="none" w:sz="0" w:space="0" w:color="auto"/>
        <w:bottom w:val="none" w:sz="0" w:space="0" w:color="auto"/>
        <w:right w:val="none" w:sz="0" w:space="0" w:color="auto"/>
      </w:divBdr>
    </w:div>
    <w:div w:id="438065999">
      <w:bodyDiv w:val="1"/>
      <w:marLeft w:val="0"/>
      <w:marRight w:val="0"/>
      <w:marTop w:val="0"/>
      <w:marBottom w:val="0"/>
      <w:divBdr>
        <w:top w:val="none" w:sz="0" w:space="0" w:color="auto"/>
        <w:left w:val="none" w:sz="0" w:space="0" w:color="auto"/>
        <w:bottom w:val="none" w:sz="0" w:space="0" w:color="auto"/>
        <w:right w:val="none" w:sz="0" w:space="0" w:color="auto"/>
      </w:divBdr>
    </w:div>
    <w:div w:id="510920325">
      <w:bodyDiv w:val="1"/>
      <w:marLeft w:val="0"/>
      <w:marRight w:val="0"/>
      <w:marTop w:val="0"/>
      <w:marBottom w:val="0"/>
      <w:divBdr>
        <w:top w:val="none" w:sz="0" w:space="0" w:color="auto"/>
        <w:left w:val="none" w:sz="0" w:space="0" w:color="auto"/>
        <w:bottom w:val="none" w:sz="0" w:space="0" w:color="auto"/>
        <w:right w:val="none" w:sz="0" w:space="0" w:color="auto"/>
      </w:divBdr>
    </w:div>
    <w:div w:id="526021404">
      <w:bodyDiv w:val="1"/>
      <w:marLeft w:val="0"/>
      <w:marRight w:val="0"/>
      <w:marTop w:val="0"/>
      <w:marBottom w:val="0"/>
      <w:divBdr>
        <w:top w:val="none" w:sz="0" w:space="0" w:color="auto"/>
        <w:left w:val="none" w:sz="0" w:space="0" w:color="auto"/>
        <w:bottom w:val="none" w:sz="0" w:space="0" w:color="auto"/>
        <w:right w:val="none" w:sz="0" w:space="0" w:color="auto"/>
      </w:divBdr>
    </w:div>
    <w:div w:id="676231077">
      <w:bodyDiv w:val="1"/>
      <w:marLeft w:val="0"/>
      <w:marRight w:val="0"/>
      <w:marTop w:val="0"/>
      <w:marBottom w:val="0"/>
      <w:divBdr>
        <w:top w:val="none" w:sz="0" w:space="0" w:color="auto"/>
        <w:left w:val="none" w:sz="0" w:space="0" w:color="auto"/>
        <w:bottom w:val="none" w:sz="0" w:space="0" w:color="auto"/>
        <w:right w:val="none" w:sz="0" w:space="0" w:color="auto"/>
      </w:divBdr>
    </w:div>
    <w:div w:id="722605901">
      <w:bodyDiv w:val="1"/>
      <w:marLeft w:val="0"/>
      <w:marRight w:val="0"/>
      <w:marTop w:val="0"/>
      <w:marBottom w:val="0"/>
      <w:divBdr>
        <w:top w:val="none" w:sz="0" w:space="0" w:color="auto"/>
        <w:left w:val="none" w:sz="0" w:space="0" w:color="auto"/>
        <w:bottom w:val="none" w:sz="0" w:space="0" w:color="auto"/>
        <w:right w:val="none" w:sz="0" w:space="0" w:color="auto"/>
      </w:divBdr>
    </w:div>
    <w:div w:id="778138925">
      <w:bodyDiv w:val="1"/>
      <w:marLeft w:val="0"/>
      <w:marRight w:val="0"/>
      <w:marTop w:val="0"/>
      <w:marBottom w:val="0"/>
      <w:divBdr>
        <w:top w:val="none" w:sz="0" w:space="0" w:color="auto"/>
        <w:left w:val="none" w:sz="0" w:space="0" w:color="auto"/>
        <w:bottom w:val="none" w:sz="0" w:space="0" w:color="auto"/>
        <w:right w:val="none" w:sz="0" w:space="0" w:color="auto"/>
      </w:divBdr>
    </w:div>
    <w:div w:id="823396922">
      <w:bodyDiv w:val="1"/>
      <w:marLeft w:val="0"/>
      <w:marRight w:val="0"/>
      <w:marTop w:val="0"/>
      <w:marBottom w:val="0"/>
      <w:divBdr>
        <w:top w:val="none" w:sz="0" w:space="0" w:color="auto"/>
        <w:left w:val="none" w:sz="0" w:space="0" w:color="auto"/>
        <w:bottom w:val="none" w:sz="0" w:space="0" w:color="auto"/>
        <w:right w:val="none" w:sz="0" w:space="0" w:color="auto"/>
      </w:divBdr>
    </w:div>
    <w:div w:id="993992523">
      <w:bodyDiv w:val="1"/>
      <w:marLeft w:val="0"/>
      <w:marRight w:val="0"/>
      <w:marTop w:val="0"/>
      <w:marBottom w:val="0"/>
      <w:divBdr>
        <w:top w:val="none" w:sz="0" w:space="0" w:color="auto"/>
        <w:left w:val="none" w:sz="0" w:space="0" w:color="auto"/>
        <w:bottom w:val="none" w:sz="0" w:space="0" w:color="auto"/>
        <w:right w:val="none" w:sz="0" w:space="0" w:color="auto"/>
      </w:divBdr>
    </w:div>
    <w:div w:id="1185637429">
      <w:bodyDiv w:val="1"/>
      <w:marLeft w:val="0"/>
      <w:marRight w:val="0"/>
      <w:marTop w:val="0"/>
      <w:marBottom w:val="0"/>
      <w:divBdr>
        <w:top w:val="none" w:sz="0" w:space="0" w:color="auto"/>
        <w:left w:val="none" w:sz="0" w:space="0" w:color="auto"/>
        <w:bottom w:val="none" w:sz="0" w:space="0" w:color="auto"/>
        <w:right w:val="none" w:sz="0" w:space="0" w:color="auto"/>
      </w:divBdr>
    </w:div>
    <w:div w:id="1215581455">
      <w:bodyDiv w:val="1"/>
      <w:marLeft w:val="0"/>
      <w:marRight w:val="0"/>
      <w:marTop w:val="0"/>
      <w:marBottom w:val="0"/>
      <w:divBdr>
        <w:top w:val="none" w:sz="0" w:space="0" w:color="auto"/>
        <w:left w:val="none" w:sz="0" w:space="0" w:color="auto"/>
        <w:bottom w:val="none" w:sz="0" w:space="0" w:color="auto"/>
        <w:right w:val="none" w:sz="0" w:space="0" w:color="auto"/>
      </w:divBdr>
    </w:div>
    <w:div w:id="1218324381">
      <w:bodyDiv w:val="1"/>
      <w:marLeft w:val="0"/>
      <w:marRight w:val="0"/>
      <w:marTop w:val="0"/>
      <w:marBottom w:val="0"/>
      <w:divBdr>
        <w:top w:val="none" w:sz="0" w:space="0" w:color="auto"/>
        <w:left w:val="none" w:sz="0" w:space="0" w:color="auto"/>
        <w:bottom w:val="none" w:sz="0" w:space="0" w:color="auto"/>
        <w:right w:val="none" w:sz="0" w:space="0" w:color="auto"/>
      </w:divBdr>
    </w:div>
    <w:div w:id="1252350483">
      <w:bodyDiv w:val="1"/>
      <w:marLeft w:val="0"/>
      <w:marRight w:val="0"/>
      <w:marTop w:val="0"/>
      <w:marBottom w:val="0"/>
      <w:divBdr>
        <w:top w:val="none" w:sz="0" w:space="0" w:color="auto"/>
        <w:left w:val="none" w:sz="0" w:space="0" w:color="auto"/>
        <w:bottom w:val="none" w:sz="0" w:space="0" w:color="auto"/>
        <w:right w:val="none" w:sz="0" w:space="0" w:color="auto"/>
      </w:divBdr>
    </w:div>
    <w:div w:id="1306081054">
      <w:bodyDiv w:val="1"/>
      <w:marLeft w:val="0"/>
      <w:marRight w:val="0"/>
      <w:marTop w:val="0"/>
      <w:marBottom w:val="0"/>
      <w:divBdr>
        <w:top w:val="none" w:sz="0" w:space="0" w:color="auto"/>
        <w:left w:val="none" w:sz="0" w:space="0" w:color="auto"/>
        <w:bottom w:val="none" w:sz="0" w:space="0" w:color="auto"/>
        <w:right w:val="none" w:sz="0" w:space="0" w:color="auto"/>
      </w:divBdr>
    </w:div>
    <w:div w:id="1409812856">
      <w:bodyDiv w:val="1"/>
      <w:marLeft w:val="0"/>
      <w:marRight w:val="0"/>
      <w:marTop w:val="0"/>
      <w:marBottom w:val="0"/>
      <w:divBdr>
        <w:top w:val="none" w:sz="0" w:space="0" w:color="auto"/>
        <w:left w:val="none" w:sz="0" w:space="0" w:color="auto"/>
        <w:bottom w:val="none" w:sz="0" w:space="0" w:color="auto"/>
        <w:right w:val="none" w:sz="0" w:space="0" w:color="auto"/>
      </w:divBdr>
    </w:div>
    <w:div w:id="1424884234">
      <w:bodyDiv w:val="1"/>
      <w:marLeft w:val="0"/>
      <w:marRight w:val="0"/>
      <w:marTop w:val="0"/>
      <w:marBottom w:val="0"/>
      <w:divBdr>
        <w:top w:val="none" w:sz="0" w:space="0" w:color="auto"/>
        <w:left w:val="none" w:sz="0" w:space="0" w:color="auto"/>
        <w:bottom w:val="none" w:sz="0" w:space="0" w:color="auto"/>
        <w:right w:val="none" w:sz="0" w:space="0" w:color="auto"/>
      </w:divBdr>
    </w:div>
    <w:div w:id="1523935663">
      <w:bodyDiv w:val="1"/>
      <w:marLeft w:val="0"/>
      <w:marRight w:val="0"/>
      <w:marTop w:val="0"/>
      <w:marBottom w:val="0"/>
      <w:divBdr>
        <w:top w:val="none" w:sz="0" w:space="0" w:color="auto"/>
        <w:left w:val="none" w:sz="0" w:space="0" w:color="auto"/>
        <w:bottom w:val="none" w:sz="0" w:space="0" w:color="auto"/>
        <w:right w:val="none" w:sz="0" w:space="0" w:color="auto"/>
      </w:divBdr>
    </w:div>
    <w:div w:id="1566912685">
      <w:bodyDiv w:val="1"/>
      <w:marLeft w:val="0"/>
      <w:marRight w:val="0"/>
      <w:marTop w:val="0"/>
      <w:marBottom w:val="0"/>
      <w:divBdr>
        <w:top w:val="none" w:sz="0" w:space="0" w:color="auto"/>
        <w:left w:val="none" w:sz="0" w:space="0" w:color="auto"/>
        <w:bottom w:val="none" w:sz="0" w:space="0" w:color="auto"/>
        <w:right w:val="none" w:sz="0" w:space="0" w:color="auto"/>
      </w:divBdr>
    </w:div>
    <w:div w:id="1648708366">
      <w:bodyDiv w:val="1"/>
      <w:marLeft w:val="0"/>
      <w:marRight w:val="0"/>
      <w:marTop w:val="0"/>
      <w:marBottom w:val="0"/>
      <w:divBdr>
        <w:top w:val="none" w:sz="0" w:space="0" w:color="auto"/>
        <w:left w:val="none" w:sz="0" w:space="0" w:color="auto"/>
        <w:bottom w:val="none" w:sz="0" w:space="0" w:color="auto"/>
        <w:right w:val="none" w:sz="0" w:space="0" w:color="auto"/>
      </w:divBdr>
    </w:div>
    <w:div w:id="180715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ndards.chair@csmfo.org" TargetMode="External"/><Relationship Id="rId5" Type="http://schemas.openxmlformats.org/officeDocument/2006/relationships/footnotes" Target="footnotes.xml"/><Relationship Id="rId10" Type="http://schemas.openxmlformats.org/officeDocument/2006/relationships/hyperlink" Target="https://www.csmfo.org/professional-standards-committee-highlights/" TargetMode="External"/><Relationship Id="rId4" Type="http://schemas.openxmlformats.org/officeDocument/2006/relationships/webSettings" Target="webSettings.xml"/><Relationship Id="rId9" Type="http://schemas.openxmlformats.org/officeDocument/2006/relationships/hyperlink" Target="https://www.whitehouse.gov/wp-content/uploads/2020/12/2020-Compliance-Supplement-Addendum_Final.pdf"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Al-Imam</dc:creator>
  <cp:keywords/>
  <dc:description/>
  <cp:lastModifiedBy>Al-Imam, Jason</cp:lastModifiedBy>
  <cp:revision>10</cp:revision>
  <cp:lastPrinted>2020-11-05T21:40:00Z</cp:lastPrinted>
  <dcterms:created xsi:type="dcterms:W3CDTF">2020-11-06T19:24:00Z</dcterms:created>
  <dcterms:modified xsi:type="dcterms:W3CDTF">2021-01-26T00:05:00Z</dcterms:modified>
</cp:coreProperties>
</file>