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3756D" w14:paraId="70568FF0" w14:textId="77777777" w:rsidTr="0063756D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51F2672A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63756D" w14:paraId="07B0E19C" w14:textId="77777777" w:rsidTr="0063756D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4F9AFB8B" w14:textId="77777777" w:rsidR="0063756D" w:rsidRDefault="0063756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bookmarkStart w:id="0" w:name="_Hlk72853273"/>
                        <w:r>
                          <w:rPr>
                            <w:noProof/>
                          </w:rPr>
                          <w:drawing>
                            <wp:inline distT="0" distB="0" distL="0" distR="0" wp14:anchorId="0A155FB3" wp14:editId="710518DC">
                              <wp:extent cx="948690" cy="798195"/>
                              <wp:effectExtent l="0" t="0" r="3810" b="1905"/>
                              <wp:docPr id="4" name="Picture 4" descr="https://gallery.mailchimp.com/930bb0fab56bfc2a1e3383126/images/b3d23eea-c2ed-427c-a336-f976d60acf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930bb0fab56bfc2a1e3383126/images/b3d23eea-c2ed-427c-a336-f976d60acf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798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7CBD68B" w14:textId="77777777" w:rsidR="0063756D" w:rsidRDefault="0063756D"/>
              </w:tc>
            </w:tr>
          </w:tbl>
          <w:p w14:paraId="5B6C99D6" w14:textId="77777777" w:rsidR="0063756D" w:rsidRDefault="0063756D">
            <w:pPr>
              <w:rPr>
                <w:color w:val="000000"/>
                <w:sz w:val="27"/>
                <w:szCs w:val="27"/>
              </w:rPr>
            </w:pPr>
          </w:p>
        </w:tc>
      </w:tr>
      <w:tr w:rsidR="0063756D" w14:paraId="68502B86" w14:textId="77777777" w:rsidTr="0063756D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4E2A70C5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3756D" w14:paraId="1B544EF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3DCEB4A" w14:textId="77777777" w:rsidR="0063756D" w:rsidRDefault="0063756D">
                        <w:pPr>
                          <w:pStyle w:val="Heading1"/>
                          <w:spacing w:before="0" w:beforeAutospacing="0" w:after="0" w:afterAutospacing="0" w:line="488" w:lineRule="atLeast"/>
                          <w:jc w:val="center"/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</w:pPr>
                        <w:r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  <w:t>Professional Standards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  <w:br/>
                          <w:t>Committee Highlights</w:t>
                        </w:r>
                      </w:p>
                      <w:p w14:paraId="0D3B4E87" w14:textId="77777777" w:rsidR="00BF17EC" w:rsidRPr="00BF17EC" w:rsidRDefault="00BF17EC" w:rsidP="00BF17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sz w:val="16"/>
                            <w:szCs w:val="16"/>
                          </w:rPr>
                        </w:pPr>
                      </w:p>
                      <w:p w14:paraId="60DBBF62" w14:textId="41870084" w:rsidR="004D69C4" w:rsidRDefault="004D69C4" w:rsidP="00283BC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</w:pPr>
                        <w:r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>“</w:t>
                        </w:r>
                        <w:r w:rsidR="00283BC4"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>QUICK HITS</w:t>
                        </w:r>
                        <w:r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>”</w:t>
                        </w:r>
                        <w:r w:rsidR="00283BC4"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 xml:space="preserve"> VIDEO ON EXPANDED ACCESS TO </w:t>
                        </w:r>
                      </w:p>
                      <w:p w14:paraId="58C905A1" w14:textId="77777777" w:rsidR="004D69C4" w:rsidRDefault="00283BC4" w:rsidP="00283BC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</w:pPr>
                        <w:r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 xml:space="preserve">PRIVATE MARKET SECURITIES FOR </w:t>
                        </w:r>
                      </w:p>
                      <w:p w14:paraId="36E21BE1" w14:textId="694A0C5C" w:rsidR="0063756D" w:rsidRPr="009132B2" w:rsidRDefault="004D69C4" w:rsidP="00283BC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Helvetica" w:hAnsi="Helvetica" w:cs="Helvetica"/>
                            <w:color w:val="202020"/>
                          </w:rPr>
                        </w:pPr>
                        <w:r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>STATE AND L</w:t>
                        </w:r>
                        <w:r w:rsidR="00283BC4"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>OCAL GOVERNMENTS</w:t>
                        </w:r>
                      </w:p>
                    </w:tc>
                  </w:tr>
                </w:tbl>
                <w:p w14:paraId="0C665DD5" w14:textId="77777777"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D351ED7" w14:textId="77777777"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3846089E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63756D" w14:paraId="641EA301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09ECFFD1" w14:textId="77777777" w:rsidR="0063756D" w:rsidRDefault="006375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6605268" w14:textId="77777777" w:rsidR="0063756D" w:rsidRDefault="0063756D"/>
              </w:tc>
            </w:tr>
          </w:tbl>
          <w:p w14:paraId="71C56F03" w14:textId="77777777"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3EF9B615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3756D" w14:paraId="3319BA0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E40A938" w14:textId="2E2245FB" w:rsidR="00BF17EC" w:rsidRDefault="00FA2DD7" w:rsidP="00BF17EC">
                        <w:pPr>
                          <w:jc w:val="center"/>
                        </w:pPr>
                        <w:bookmarkStart w:id="1" w:name="_GoBack"/>
                        <w:r>
                          <w:rPr>
                            <w:noProof/>
                          </w:rPr>
                          <w:drawing>
                            <wp:inline distT="0" distB="0" distL="0" distR="0" wp14:anchorId="710D107A" wp14:editId="517D9A43">
                              <wp:extent cx="3170176" cy="1928802"/>
                              <wp:effectExtent l="0" t="0" r="0" b="0"/>
                              <wp:docPr id="3" name="Picture 3" descr="The SEC's change of climate on climate change and ESG | Greenbi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The SEC's change of climate on climate change and ESG | Greenbi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1235" cy="19476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1"/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BF17EC" w14:paraId="3C7BFCD7" w14:textId="77777777" w:rsidTr="00BF17E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51A8AF2C" w14:textId="77777777" w:rsidR="00BF17EC" w:rsidRDefault="00BF17EC" w:rsidP="003C0EEE">
                              <w:pPr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6D38E561" w14:textId="40F54DC1" w:rsidR="009132B2" w:rsidRDefault="00C62662" w:rsidP="009132B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T</w:t>
                              </w:r>
                              <w:r w:rsidR="00283BC4" w:rsidRPr="00283B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he U.S.</w:t>
                              </w:r>
                              <w:r w:rsidR="00283B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283BC4" w:rsidRPr="00283B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Securities and Exchange Commission (SEC) </w:t>
                              </w:r>
                              <w:r w:rsidR="00283B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recently </w:t>
                              </w:r>
                              <w:r w:rsidR="00283BC4" w:rsidRPr="00283B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adopted 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a change to the</w:t>
                              </w:r>
                              <w:r w:rsidR="00E64679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ir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rules that </w:t>
                              </w:r>
                              <w:r w:rsidR="00283BC4" w:rsidRPr="00283B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expands access for state and local governments to commercial paper, negotiable bank deposits and corporate bonds. </w:t>
                              </w:r>
                              <w:r w:rsidR="00E64679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Prior to</w:t>
                              </w:r>
                              <w:r w:rsidR="00283BC4" w:rsidRPr="00283B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the change, state and local government entities, 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regardless of</w:t>
                              </w:r>
                              <w:r w:rsidR="00283BC4" w:rsidRPr="00283B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size, were not included in the definition of “accredited investor” or “qualified institutional buyer” (QIB) and 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therefore</w:t>
                              </w:r>
                              <w:r w:rsidR="00283BC4" w:rsidRPr="00283B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did not have access to private market securities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. </w:t>
                              </w:r>
                            </w:p>
                            <w:p w14:paraId="2BADB8D4" w14:textId="25A111E1" w:rsidR="00C62662" w:rsidRDefault="00C62662" w:rsidP="009132B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C6266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The new </w:t>
                              </w:r>
                              <w:r w:rsidR="00E64679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definition for these terms</w:t>
                              </w:r>
                              <w:r w:rsidRPr="00C6266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now includes state and local governments and applies a principles and rules-based approach dependent on sophistication or size rather than type of entity. Investors — </w:t>
                              </w:r>
                              <w:r w:rsidRPr="00EC1950">
                                <w:rPr>
                                  <w:rFonts w:ascii="Helvetica" w:hAnsi="Helvetica" w:cs="Helvetica"/>
                                  <w:i/>
                                  <w:color w:val="333333"/>
                                  <w:shd w:val="clear" w:color="auto" w:fill="FFFFFF"/>
                                </w:rPr>
                                <w:t>other than natural persons who are qualified by professional qualification</w:t>
                              </w:r>
                              <w:r w:rsidRPr="00C6266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— must meet an asset test. The investing entity must control at least $5 million in assets to qualify as an accredited investor and must own $100 million of securities to be a QIB.</w:t>
                              </w:r>
                            </w:p>
                            <w:p w14:paraId="0CB67D17" w14:textId="4F06FEF6" w:rsidR="004D69C4" w:rsidRDefault="00B407A7" w:rsidP="00EC1950">
                              <w:pPr>
                                <w:spacing w:before="100" w:beforeAutospacing="1" w:line="360" w:lineRule="auto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B407A7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Click </w:t>
                              </w:r>
                              <w:hyperlink r:id="rId9" w:history="1">
                                <w:r w:rsidRPr="00B407A7">
                                  <w:rPr>
                                    <w:rStyle w:val="Hyperlink"/>
                                    <w:rFonts w:ascii="Helvetica" w:hAnsi="Helvetica" w:cs="Helvetica"/>
                                    <w:shd w:val="clear" w:color="auto" w:fill="FFFFFF"/>
                                  </w:rPr>
                                  <w:t>here to watch</w:t>
                                </w:r>
                              </w:hyperlink>
                              <w:r w:rsidRPr="00B407A7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a</w:t>
                              </w:r>
                              <w:r w:rsidR="004D69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“</w:t>
                              </w:r>
                              <w:r w:rsidR="004D69C4" w:rsidRPr="00EC1950">
                                <w:rPr>
                                  <w:rFonts w:ascii="Helvetica" w:hAnsi="Helvetica" w:cs="Helvetica"/>
                                  <w:b/>
                                  <w:color w:val="333333"/>
                                  <w:shd w:val="clear" w:color="auto" w:fill="FFFFFF"/>
                                </w:rPr>
                                <w:t>quick hits</w:t>
                              </w:r>
                              <w:r w:rsidR="004D69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” video</w:t>
                              </w:r>
                              <w:r w:rsidR="001F5BAD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presented by Marty Margolis, Chief Investment Officer for PFM Asset Management</w:t>
                              </w:r>
                              <w:r w:rsidR="00FA2DD7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,</w:t>
                              </w:r>
                              <w:r w:rsidR="004D69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FA2DD7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which </w:t>
                              </w:r>
                              <w:r w:rsidR="0018723B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addresses</w:t>
                              </w:r>
                              <w:r w:rsidR="00FA2DD7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the following questions</w:t>
                              </w:r>
                              <w:r w:rsidR="0018723B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on this topic</w:t>
                              </w:r>
                              <w:r w:rsidR="004D69C4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: </w:t>
                              </w:r>
                            </w:p>
                            <w:p w14:paraId="00682BC4" w14:textId="5984EED2" w:rsidR="004D69C4" w:rsidRDefault="00EC1950" w:rsidP="0018723B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100" w:afterAutospacing="1" w:line="360" w:lineRule="auto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lastRenderedPageBreak/>
                                <w:t>Why are these changes important?</w:t>
                              </w:r>
                            </w:p>
                            <w:p w14:paraId="5AF73A50" w14:textId="70EA8536" w:rsidR="00EC1950" w:rsidRDefault="00EC1950" w:rsidP="004D69C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What is the downside or risk to these changes?</w:t>
                              </w:r>
                            </w:p>
                            <w:p w14:paraId="1D4B0E20" w14:textId="43519EA3" w:rsidR="00EC1950" w:rsidRPr="004D69C4" w:rsidRDefault="00EC1950" w:rsidP="004D69C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What </w:t>
                              </w:r>
                              <w:r w:rsidR="0013060B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types of risk management strategies should be 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considered </w:t>
                              </w:r>
                              <w:r w:rsidR="0013060B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when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13060B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investing in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 commercial paper? </w:t>
                              </w:r>
                            </w:p>
                            <w:p w14:paraId="58B6B1C0" w14:textId="77777777" w:rsidR="00FA2DD7" w:rsidRDefault="00FA2DD7" w:rsidP="00FA2DD7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7613AC3A" w14:textId="67DE5D85" w:rsidR="00816412" w:rsidRDefault="00816412" w:rsidP="00FA2DD7">
                              <w:pPr>
                                <w:spacing w:after="100" w:afterAutospacing="1"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You can also find Committee Highlights on other topics at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</w:rPr>
                                  <w:t>https://www.csmfo.org/professional-standards-committee-highlights/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. </w:t>
                              </w:r>
                            </w:p>
                            <w:p w14:paraId="5E1DEA4B" w14:textId="77777777" w:rsidR="003B7C00" w:rsidRDefault="003B7C00" w:rsidP="00FA2DD7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04290D76" w14:textId="6048A63A" w:rsidR="00816412" w:rsidRDefault="00816412" w:rsidP="00FA2DD7">
                              <w:pPr>
                                <w:spacing w:after="100" w:afterAutospacing="1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>If you have questions regarding this topic, contact Jason Al-Imam, Chair of the Professional Standards Committee at</w:t>
                              </w:r>
                              <w:r>
                                <w:rPr>
                                  <w:rFonts w:ascii="Helvetica" w:hAnsi="Helvetica" w:cs="Helvetica"/>
                                  <w:color w:val="202020"/>
                                </w:rPr>
                                <w:t> </w:t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007C89"/>
                                  </w:rPr>
                                  <w:t>standards.chair@csmfo.org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202020"/>
                                </w:rPr>
                                <w:t xml:space="preserve">. </w:t>
                              </w:r>
                            </w:p>
                            <w:p w14:paraId="35F61D97" w14:textId="77777777" w:rsidR="00816412" w:rsidRDefault="001D516A" w:rsidP="00816412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202020"/>
                                </w:rPr>
                                <w:pict w14:anchorId="20309DF9">
                                  <v:rect id="_x0000_i1025" style="width:414pt;height:1.5pt" o:hralign="center" o:hrstd="t" o:hr="t" fillcolor="#a0a0a0" stroked="f"/>
                                </w:pict>
                              </w:r>
                            </w:p>
                            <w:p w14:paraId="0DB38EDA" w14:textId="3DDA0CC3" w:rsidR="00816412" w:rsidRDefault="00816412" w:rsidP="0081641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Style w:val="Emphasis"/>
                                  <w:rFonts w:ascii="Helvetica" w:hAnsi="Helvetica" w:cs="Helvetica"/>
                                  <w:color w:val="202020"/>
                                </w:rPr>
                                <w:t>The Professional Standards Committee operates as a technical resource to CSMFO members. The Committee is comprised of municipal and commercial members whose mission is to keep members informed of emerging issues and best practices.</w:t>
                              </w:r>
                            </w:p>
                          </w:tc>
                        </w:tr>
                      </w:tbl>
                      <w:p w14:paraId="7B9F8E0E" w14:textId="712865AF" w:rsidR="0063756D" w:rsidRPr="00BF17EC" w:rsidRDefault="0063756D" w:rsidP="00BF17EC">
                        <w:pPr>
                          <w:spacing w:before="100" w:beforeAutospacing="1" w:after="100" w:afterAutospacing="1"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D018935" w14:textId="77777777" w:rsidR="0063756D" w:rsidRDefault="0063756D" w:rsidP="00BF17E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CCB18FA" w14:textId="77777777"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521776A7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89DE06" w14:textId="77777777"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2FC2C7" w14:textId="77777777" w:rsidR="0063756D" w:rsidRDefault="0063756D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66A2AEB6" w14:textId="437C3E10" w:rsidR="00816412" w:rsidRDefault="00816412" w:rsidP="006C2078"/>
    <w:p w14:paraId="0FD19731" w14:textId="77777777" w:rsidR="00816412" w:rsidRPr="00816412" w:rsidRDefault="00816412" w:rsidP="00816412"/>
    <w:p w14:paraId="1065B1A6" w14:textId="76A1E9B8" w:rsidR="00816412" w:rsidRDefault="00816412" w:rsidP="00816412"/>
    <w:p w14:paraId="3C903D84" w14:textId="0494CC98" w:rsidR="00D335AA" w:rsidRPr="00816412" w:rsidRDefault="00816412" w:rsidP="00816412">
      <w:pPr>
        <w:tabs>
          <w:tab w:val="left" w:pos="3165"/>
        </w:tabs>
      </w:pPr>
      <w:r>
        <w:tab/>
      </w:r>
      <w:bookmarkEnd w:id="0"/>
    </w:p>
    <w:sectPr w:rsidR="00D335AA" w:rsidRPr="00816412" w:rsidSect="00A8706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F93D8" w16cex:dateUtc="2020-11-06T1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8907B" w14:textId="77777777" w:rsidR="001D516A" w:rsidRDefault="001D516A" w:rsidP="007F3BD5">
      <w:r>
        <w:separator/>
      </w:r>
    </w:p>
  </w:endnote>
  <w:endnote w:type="continuationSeparator" w:id="0">
    <w:p w14:paraId="46A6B287" w14:textId="77777777" w:rsidR="001D516A" w:rsidRDefault="001D516A" w:rsidP="007F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78F62" w14:textId="77777777" w:rsidR="001D516A" w:rsidRDefault="001D516A" w:rsidP="007F3BD5">
      <w:r>
        <w:separator/>
      </w:r>
    </w:p>
  </w:footnote>
  <w:footnote w:type="continuationSeparator" w:id="0">
    <w:p w14:paraId="36730ACD" w14:textId="77777777" w:rsidR="001D516A" w:rsidRDefault="001D516A" w:rsidP="007F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13B"/>
    <w:multiLevelType w:val="hybridMultilevel"/>
    <w:tmpl w:val="1C68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4E8B"/>
    <w:multiLevelType w:val="hybridMultilevel"/>
    <w:tmpl w:val="EF26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74F"/>
    <w:multiLevelType w:val="hybridMultilevel"/>
    <w:tmpl w:val="25C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56"/>
    <w:rsid w:val="00031A25"/>
    <w:rsid w:val="00036B1E"/>
    <w:rsid w:val="00076340"/>
    <w:rsid w:val="000B1E11"/>
    <w:rsid w:val="00114FF6"/>
    <w:rsid w:val="0013060B"/>
    <w:rsid w:val="0016774C"/>
    <w:rsid w:val="001801EF"/>
    <w:rsid w:val="0018723B"/>
    <w:rsid w:val="001D516A"/>
    <w:rsid w:val="001F5BAD"/>
    <w:rsid w:val="001F6169"/>
    <w:rsid w:val="00227CDA"/>
    <w:rsid w:val="00283BC4"/>
    <w:rsid w:val="00293BC0"/>
    <w:rsid w:val="002A3BE3"/>
    <w:rsid w:val="002B304D"/>
    <w:rsid w:val="00345416"/>
    <w:rsid w:val="00355C23"/>
    <w:rsid w:val="00371884"/>
    <w:rsid w:val="003B2F65"/>
    <w:rsid w:val="003B7C00"/>
    <w:rsid w:val="003C0EEE"/>
    <w:rsid w:val="003D4C75"/>
    <w:rsid w:val="00445B14"/>
    <w:rsid w:val="00465A7C"/>
    <w:rsid w:val="00485CA0"/>
    <w:rsid w:val="004A4DCD"/>
    <w:rsid w:val="004D69C4"/>
    <w:rsid w:val="004F5579"/>
    <w:rsid w:val="005304D5"/>
    <w:rsid w:val="00533FC9"/>
    <w:rsid w:val="0055255B"/>
    <w:rsid w:val="0063756D"/>
    <w:rsid w:val="00645FD5"/>
    <w:rsid w:val="006C2078"/>
    <w:rsid w:val="006D06CF"/>
    <w:rsid w:val="006E45AE"/>
    <w:rsid w:val="00700E67"/>
    <w:rsid w:val="00706AFE"/>
    <w:rsid w:val="00740108"/>
    <w:rsid w:val="007524D0"/>
    <w:rsid w:val="00785982"/>
    <w:rsid w:val="007B00DA"/>
    <w:rsid w:val="007C090A"/>
    <w:rsid w:val="007C1FB2"/>
    <w:rsid w:val="007E32F9"/>
    <w:rsid w:val="007F3BD5"/>
    <w:rsid w:val="007F7534"/>
    <w:rsid w:val="00801833"/>
    <w:rsid w:val="008031F1"/>
    <w:rsid w:val="00806E6B"/>
    <w:rsid w:val="00810071"/>
    <w:rsid w:val="00816412"/>
    <w:rsid w:val="00830EBB"/>
    <w:rsid w:val="00865B29"/>
    <w:rsid w:val="008830CC"/>
    <w:rsid w:val="00893621"/>
    <w:rsid w:val="008B2003"/>
    <w:rsid w:val="008C6955"/>
    <w:rsid w:val="009132B2"/>
    <w:rsid w:val="00914746"/>
    <w:rsid w:val="00921E2A"/>
    <w:rsid w:val="0093446A"/>
    <w:rsid w:val="00967C46"/>
    <w:rsid w:val="00981236"/>
    <w:rsid w:val="0098441D"/>
    <w:rsid w:val="009C09AB"/>
    <w:rsid w:val="009E63FC"/>
    <w:rsid w:val="009F067F"/>
    <w:rsid w:val="00A359A4"/>
    <w:rsid w:val="00A73F7D"/>
    <w:rsid w:val="00A87066"/>
    <w:rsid w:val="00A975BC"/>
    <w:rsid w:val="00AD6974"/>
    <w:rsid w:val="00B157E3"/>
    <w:rsid w:val="00B407A7"/>
    <w:rsid w:val="00B835B4"/>
    <w:rsid w:val="00B90556"/>
    <w:rsid w:val="00BA6380"/>
    <w:rsid w:val="00BB0406"/>
    <w:rsid w:val="00BB0548"/>
    <w:rsid w:val="00BC5BDE"/>
    <w:rsid w:val="00BD31A1"/>
    <w:rsid w:val="00BF17EC"/>
    <w:rsid w:val="00C31489"/>
    <w:rsid w:val="00C4446F"/>
    <w:rsid w:val="00C4759F"/>
    <w:rsid w:val="00C60DFF"/>
    <w:rsid w:val="00C62662"/>
    <w:rsid w:val="00C833C5"/>
    <w:rsid w:val="00CE10A5"/>
    <w:rsid w:val="00CE5F0A"/>
    <w:rsid w:val="00CF2519"/>
    <w:rsid w:val="00D016C2"/>
    <w:rsid w:val="00D03D92"/>
    <w:rsid w:val="00D335AA"/>
    <w:rsid w:val="00D64BDD"/>
    <w:rsid w:val="00D71FA7"/>
    <w:rsid w:val="00D8761D"/>
    <w:rsid w:val="00E02A5C"/>
    <w:rsid w:val="00E13677"/>
    <w:rsid w:val="00E152C9"/>
    <w:rsid w:val="00E64679"/>
    <w:rsid w:val="00E66646"/>
    <w:rsid w:val="00E75F0B"/>
    <w:rsid w:val="00EB6872"/>
    <w:rsid w:val="00EC0657"/>
    <w:rsid w:val="00EC1950"/>
    <w:rsid w:val="00F20711"/>
    <w:rsid w:val="00F620B0"/>
    <w:rsid w:val="00F744B6"/>
    <w:rsid w:val="00FA03D3"/>
    <w:rsid w:val="00FA2DD7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4B93D"/>
  <w15:chartTrackingRefBased/>
  <w15:docId w15:val="{4EB855E9-4DB8-4302-A0AB-BB4A8230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E2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375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B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7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B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3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BD5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37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37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56D"/>
    <w:rPr>
      <w:b/>
      <w:bCs/>
    </w:rPr>
  </w:style>
  <w:style w:type="character" w:styleId="Emphasis">
    <w:name w:val="Emphasis"/>
    <w:basedOn w:val="DefaultParagraphFont"/>
    <w:uiPriority w:val="20"/>
    <w:qFormat/>
    <w:rsid w:val="00BF17EC"/>
    <w:rPr>
      <w:i/>
      <w:iCs/>
    </w:rPr>
  </w:style>
  <w:style w:type="paragraph" w:styleId="ListParagraph">
    <w:name w:val="List Paragraph"/>
    <w:basedOn w:val="Normal"/>
    <w:uiPriority w:val="34"/>
    <w:qFormat/>
    <w:rsid w:val="003B2F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01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0C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0CC"/>
    <w:rPr>
      <w:rFonts w:ascii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B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76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ndards.chair@csmfo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smfo.org/professional-standards-committee-highligh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-east-2.protection.sophos.com/?d=vimeo.com&amp;u=aHR0cHM6Ly92aW1lby5jb20vNTU1OTE4NTMzL2E5NTdmNmEzOWE=&amp;i=NWU1MDYxMGM4NjNmNmMxN2RkZDVjY2Yw&amp;t=emp5UDZJQjNqT0RCRklrR0p3SXI2WnphM0VWdE5vUmNnSTl5SmZYQWpTMD0=&amp;h=46d01cf70f2346b3a96af6baa98ba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Al-Imam</dc:creator>
  <cp:keywords/>
  <dc:description/>
  <cp:lastModifiedBy>Al-Imam, Jason</cp:lastModifiedBy>
  <cp:revision>3</cp:revision>
  <cp:lastPrinted>2020-11-05T21:40:00Z</cp:lastPrinted>
  <dcterms:created xsi:type="dcterms:W3CDTF">2021-05-28T15:10:00Z</dcterms:created>
  <dcterms:modified xsi:type="dcterms:W3CDTF">2021-05-28T15:13:00Z</dcterms:modified>
</cp:coreProperties>
</file>