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3756D" w:rsidTr="0063756D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3756D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0"/>
                  </w:tblGrid>
                  <w:tr w:rsidR="0063756D" w:rsidTr="0063756D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63756D" w:rsidRDefault="0063756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48690" cy="798195"/>
                              <wp:effectExtent l="0" t="0" r="3810" b="1905"/>
                              <wp:docPr id="4" name="Picture 4" descr="https://gallery.mailchimp.com/930bb0fab56bfc2a1e3383126/images/b3d23eea-c2ed-427c-a336-f976d60acf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gallery.mailchimp.com/930bb0fab56bfc2a1e3383126/images/b3d23eea-c2ed-427c-a336-f976d60acf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8690" cy="7981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3756D" w:rsidRDefault="0063756D"/>
              </w:tc>
            </w:tr>
          </w:tbl>
          <w:p w:rsidR="0063756D" w:rsidRDefault="0063756D">
            <w:pPr>
              <w:rPr>
                <w:color w:val="000000"/>
                <w:sz w:val="27"/>
                <w:szCs w:val="27"/>
              </w:rPr>
            </w:pPr>
          </w:p>
        </w:tc>
      </w:tr>
      <w:tr w:rsidR="0063756D" w:rsidTr="0063756D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AFAFA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3756D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63756D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63756D" w:rsidRDefault="0063756D">
                        <w:pPr>
                          <w:pStyle w:val="Heading1"/>
                          <w:spacing w:before="0" w:beforeAutospacing="0" w:after="0" w:afterAutospacing="0" w:line="488" w:lineRule="atLeast"/>
                          <w:jc w:val="center"/>
                          <w:rPr>
                            <w:rFonts w:ascii="Helvetica" w:hAnsi="Helvetica" w:cs="Helvetica"/>
                            <w:color w:val="202020"/>
                            <w:sz w:val="39"/>
                            <w:szCs w:val="39"/>
                          </w:rPr>
                        </w:pPr>
                        <w:r>
                          <w:rPr>
                            <w:rFonts w:ascii="Helvetica" w:hAnsi="Helvetica" w:cs="Helvetica"/>
                            <w:color w:val="202020"/>
                            <w:sz w:val="39"/>
                            <w:szCs w:val="39"/>
                          </w:rPr>
                          <w:t>Professional Standards</w:t>
                        </w:r>
                        <w:r>
                          <w:rPr>
                            <w:rFonts w:ascii="Helvetica" w:hAnsi="Helvetica" w:cs="Helvetica"/>
                            <w:color w:val="202020"/>
                            <w:sz w:val="39"/>
                            <w:szCs w:val="39"/>
                          </w:rPr>
                          <w:br/>
                          <w:t>Committee Highlights</w:t>
                        </w:r>
                      </w:p>
                      <w:p w:rsidR="0008751F" w:rsidRPr="0008751F" w:rsidRDefault="0008751F" w:rsidP="0008751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Style w:val="Strong"/>
                            <w:rFonts w:ascii="Helvetica" w:hAnsi="Helvetica" w:cs="Helvetica"/>
                            <w:color w:val="202020"/>
                            <w:sz w:val="16"/>
                            <w:szCs w:val="16"/>
                          </w:rPr>
                        </w:pPr>
                      </w:p>
                      <w:p w:rsidR="006F6526" w:rsidRDefault="006F6526" w:rsidP="007F2F7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Style w:val="Strong"/>
                            <w:rFonts w:ascii="Helvetica" w:hAnsi="Helvetica" w:cs="Helvetica"/>
                            <w:color w:val="202020"/>
                            <w:sz w:val="30"/>
                            <w:szCs w:val="30"/>
                          </w:rPr>
                        </w:pPr>
                        <w:r>
                          <w:rPr>
                            <w:rStyle w:val="Strong"/>
                            <w:rFonts w:ascii="Helvetica" w:hAnsi="Helvetica" w:cs="Helvetica"/>
                            <w:color w:val="202020"/>
                            <w:sz w:val="30"/>
                            <w:szCs w:val="30"/>
                          </w:rPr>
                          <w:t xml:space="preserve">GOVERNMENT INDUSTRY ALERT: </w:t>
                        </w:r>
                      </w:p>
                      <w:p w:rsidR="0063756D" w:rsidRDefault="006F6526" w:rsidP="007F2F7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Helvetica" w:hAnsi="Helvetica" w:cs="Helvetica"/>
                            <w:color w:val="202020"/>
                          </w:rPr>
                        </w:pPr>
                        <w:r>
                          <w:rPr>
                            <w:rStyle w:val="Strong"/>
                            <w:rFonts w:ascii="Helvetica" w:hAnsi="Helvetica" w:cs="Helvetica"/>
                            <w:color w:val="202020"/>
                            <w:sz w:val="30"/>
                            <w:szCs w:val="30"/>
                          </w:rPr>
                          <w:t>CORONAVIRUS STATE &amp; LOCAL FISCAL RECOVERY FUNDS</w:t>
                        </w:r>
                      </w:p>
                    </w:tc>
                  </w:tr>
                </w:tbl>
                <w:p w:rsidR="0063756D" w:rsidRDefault="0063756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3756D" w:rsidRDefault="0063756D">
            <w:pPr>
              <w:rPr>
                <w:vanish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3756D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0"/>
                  </w:tblGrid>
                  <w:tr w:rsidR="0063756D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63756D" w:rsidRDefault="00C8019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590925" cy="2868903"/>
                              <wp:effectExtent l="0" t="0" r="0" b="825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COVID-19.jpg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37709" cy="29062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3756D" w:rsidRDefault="0063756D"/>
              </w:tc>
            </w:tr>
          </w:tbl>
          <w:p w:rsidR="0063756D" w:rsidRDefault="0063756D">
            <w:pPr>
              <w:rPr>
                <w:vanish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3756D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63756D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DD1DFA" w:rsidRDefault="007F7534" w:rsidP="007F2F76">
                        <w:pPr>
                          <w:spacing w:before="100" w:beforeAutospacing="1" w:after="100" w:afterAutospacing="1" w:line="360" w:lineRule="auto"/>
                          <w:rPr>
                            <w:rFonts w:ascii="Helvetica" w:hAnsi="Helvetica" w:cs="Helvetica"/>
                          </w:rPr>
                        </w:pPr>
                        <w:bookmarkStart w:id="0" w:name="_Hlk37064348"/>
                        <w:bookmarkStart w:id="1" w:name="_Hlk83025849"/>
                        <w:r>
                          <w:rPr>
                            <w:rFonts w:ascii="Helvetica" w:hAnsi="Helvetica" w:cs="Helvetica"/>
                          </w:rPr>
                          <w:t xml:space="preserve">The </w:t>
                        </w:r>
                        <w:proofErr w:type="spellStart"/>
                        <w:r w:rsidR="007C4341">
                          <w:rPr>
                            <w:rFonts w:ascii="Helvetica" w:hAnsi="Helvetica" w:cs="Helvetica"/>
                          </w:rPr>
                          <w:t>CalCPA</w:t>
                        </w:r>
                        <w:proofErr w:type="spellEnd"/>
                        <w:r w:rsidR="007C4341">
                          <w:rPr>
                            <w:rFonts w:ascii="Helvetica" w:hAnsi="Helvetica" w:cs="Helvetica"/>
                          </w:rPr>
                          <w:t xml:space="preserve"> Government</w:t>
                        </w:r>
                        <w:r w:rsidR="00A40716">
                          <w:rPr>
                            <w:rFonts w:ascii="Helvetica" w:hAnsi="Helvetica" w:cs="Helvetica"/>
                          </w:rPr>
                          <w:t xml:space="preserve">al Accounting &amp; Auditing Committee and </w:t>
                        </w:r>
                        <w:r>
                          <w:rPr>
                            <w:rFonts w:ascii="Helvetica" w:hAnsi="Helvetica" w:cs="Helvetica"/>
                          </w:rPr>
                          <w:t xml:space="preserve">California Committee on Municipal Accounting (CCMA) </w:t>
                        </w:r>
                        <w:r w:rsidR="006F6526">
                          <w:rPr>
                            <w:rFonts w:ascii="Helvetica" w:hAnsi="Helvetica" w:cs="Helvetica"/>
                          </w:rPr>
                          <w:t xml:space="preserve">recently </w:t>
                        </w:r>
                        <w:r>
                          <w:rPr>
                            <w:rFonts w:ascii="Helvetica" w:hAnsi="Helvetica" w:cs="Helvetica"/>
                          </w:rPr>
                          <w:t xml:space="preserve">issued a </w:t>
                        </w:r>
                        <w:r w:rsidR="0008751F">
                          <w:rPr>
                            <w:rFonts w:ascii="Helvetica" w:hAnsi="Helvetica" w:cs="Helvetica"/>
                          </w:rPr>
                          <w:t>Government Industry Alert</w:t>
                        </w:r>
                        <w:r>
                          <w:rPr>
                            <w:rFonts w:ascii="Helvetica" w:hAnsi="Helvetica" w:cs="Helvetica"/>
                          </w:rPr>
                          <w:t xml:space="preserve"> that provides suggested guidance on</w:t>
                        </w:r>
                        <w:r w:rsidR="006F6526">
                          <w:rPr>
                            <w:rFonts w:ascii="Helvetica" w:hAnsi="Helvetica" w:cs="Helvetica"/>
                          </w:rPr>
                          <w:t xml:space="preserve"> </w:t>
                        </w:r>
                        <w:r w:rsidR="006F6526" w:rsidRPr="006F6526">
                          <w:rPr>
                            <w:rFonts w:ascii="Helvetica" w:hAnsi="Helvetica" w:cs="Helvetica"/>
                          </w:rPr>
                          <w:t xml:space="preserve">accounting, financial reporting and </w:t>
                        </w:r>
                        <w:r w:rsidR="006F6526">
                          <w:rPr>
                            <w:rFonts w:ascii="Helvetica" w:hAnsi="Helvetica" w:cs="Helvetica"/>
                          </w:rPr>
                          <w:t xml:space="preserve">Single Audit </w:t>
                        </w:r>
                        <w:r w:rsidR="00A40716">
                          <w:rPr>
                            <w:rFonts w:ascii="Helvetica" w:hAnsi="Helvetica" w:cs="Helvetica"/>
                          </w:rPr>
                          <w:t>matters</w:t>
                        </w:r>
                        <w:r w:rsidR="006F6526" w:rsidRPr="006F6526">
                          <w:rPr>
                            <w:rFonts w:ascii="Helvetica" w:hAnsi="Helvetica" w:cs="Helvetica"/>
                          </w:rPr>
                          <w:t xml:space="preserve"> related to Coronavirus State and Local Fiscal Recovery Funds</w:t>
                        </w:r>
                        <w:r w:rsidR="005029EB">
                          <w:rPr>
                            <w:rFonts w:ascii="Helvetica" w:hAnsi="Helvetica" w:cs="Helvetica"/>
                          </w:rPr>
                          <w:t xml:space="preserve"> (Fiscal Recovery Funds)</w:t>
                        </w:r>
                        <w:r w:rsidR="00852F07">
                          <w:rPr>
                            <w:rFonts w:ascii="Helvetica" w:hAnsi="Helvetica" w:cs="Helvetica"/>
                          </w:rPr>
                          <w:t xml:space="preserve">. </w:t>
                        </w:r>
                        <w:bookmarkEnd w:id="0"/>
                        <w:r w:rsidR="006051BB">
                          <w:rPr>
                            <w:rFonts w:ascii="Helvetica" w:hAnsi="Helvetica" w:cs="Helvetica"/>
                          </w:rPr>
                          <w:t xml:space="preserve">The Government Industry Alert </w:t>
                        </w:r>
                        <w:r w:rsidR="007F2F76">
                          <w:rPr>
                            <w:rFonts w:ascii="Helvetica" w:hAnsi="Helvetica" w:cs="Helvetica"/>
                          </w:rPr>
                          <w:t>provides examples</w:t>
                        </w:r>
                        <w:r w:rsidR="005029EB">
                          <w:rPr>
                            <w:rFonts w:ascii="Helvetica" w:hAnsi="Helvetica" w:cs="Helvetica"/>
                          </w:rPr>
                          <w:t xml:space="preserve"> </w:t>
                        </w:r>
                        <w:r w:rsidR="00A40716">
                          <w:rPr>
                            <w:rFonts w:ascii="Helvetica" w:hAnsi="Helvetica" w:cs="Helvetica"/>
                          </w:rPr>
                          <w:t>on</w:t>
                        </w:r>
                        <w:r w:rsidR="005029EB">
                          <w:rPr>
                            <w:rFonts w:ascii="Helvetica" w:hAnsi="Helvetica" w:cs="Helvetica"/>
                          </w:rPr>
                          <w:t xml:space="preserve"> how Fiscal Recovery Funds may be reported in the local government’s financial statements. For example, </w:t>
                        </w:r>
                        <w:r w:rsidR="00E727C2">
                          <w:rPr>
                            <w:rFonts w:ascii="Helvetica" w:hAnsi="Helvetica" w:cs="Helvetica"/>
                          </w:rPr>
                          <w:t xml:space="preserve">depending on the facts and circumstances, </w:t>
                        </w:r>
                        <w:r w:rsidR="005029EB">
                          <w:rPr>
                            <w:rFonts w:ascii="Helvetica" w:hAnsi="Helvetica" w:cs="Helvetica"/>
                          </w:rPr>
                          <w:t xml:space="preserve">Fiscal Recovery Funds may be reported in a Special Revenue Fund, Capital Projects Fund or combined with the General Fund for reporting in the financial statements. </w:t>
                        </w:r>
                        <w:r w:rsidR="00A40716">
                          <w:rPr>
                            <w:rFonts w:ascii="Helvetica" w:hAnsi="Helvetica" w:cs="Helvetica"/>
                          </w:rPr>
                          <w:t xml:space="preserve">The Government Industry Alert also provides guidance on when revenue should be recognized. </w:t>
                        </w:r>
                        <w:r w:rsidR="000E316A">
                          <w:rPr>
                            <w:rFonts w:ascii="Helvetica" w:hAnsi="Helvetica" w:cs="Helvetica"/>
                          </w:rPr>
                          <w:t xml:space="preserve">Generally, </w:t>
                        </w:r>
                        <w:r w:rsidR="00DD1DFA">
                          <w:rPr>
                            <w:rFonts w:ascii="Helvetica" w:hAnsi="Helvetica" w:cs="Helvetica"/>
                          </w:rPr>
                          <w:t xml:space="preserve">Fiscal Recovery Funds should be recognized as revenue </w:t>
                        </w:r>
                        <w:r w:rsidR="000E316A">
                          <w:rPr>
                            <w:rFonts w:ascii="Helvetica" w:hAnsi="Helvetica" w:cs="Helvetica"/>
                          </w:rPr>
                          <w:t xml:space="preserve">once all eligibility requirements have been met, such as the incurrence of eligible expenditures. </w:t>
                        </w:r>
                        <w:r w:rsidR="00A40716">
                          <w:rPr>
                            <w:rFonts w:ascii="Helvetica" w:hAnsi="Helvetica" w:cs="Helvetica"/>
                          </w:rPr>
                          <w:t xml:space="preserve">Funds </w:t>
                        </w:r>
                        <w:r w:rsidR="00787425">
                          <w:rPr>
                            <w:rFonts w:ascii="Helvetica" w:hAnsi="Helvetica" w:cs="Helvetica"/>
                          </w:rPr>
                          <w:t>u</w:t>
                        </w:r>
                        <w:r w:rsidR="00A40716">
                          <w:rPr>
                            <w:rFonts w:ascii="Helvetica" w:hAnsi="Helvetica" w:cs="Helvetica"/>
                          </w:rPr>
                          <w:t>sed to replace lost revenue</w:t>
                        </w:r>
                        <w:r w:rsidR="00787425">
                          <w:rPr>
                            <w:rFonts w:ascii="Helvetica" w:hAnsi="Helvetica" w:cs="Helvetica"/>
                          </w:rPr>
                          <w:t xml:space="preserve"> are required to be used for the provision of government services. Therefore, while Fiscal Recovery Fund</w:t>
                        </w:r>
                        <w:r w:rsidR="001F263A">
                          <w:rPr>
                            <w:rFonts w:ascii="Helvetica" w:hAnsi="Helvetica" w:cs="Helvetica"/>
                          </w:rPr>
                          <w:t>s</w:t>
                        </w:r>
                        <w:bookmarkStart w:id="2" w:name="_GoBack"/>
                        <w:bookmarkEnd w:id="2"/>
                        <w:r w:rsidR="00787425">
                          <w:rPr>
                            <w:rFonts w:ascii="Helvetica" w:hAnsi="Helvetica" w:cs="Helvetica"/>
                          </w:rPr>
                          <w:t xml:space="preserve"> can be used to replace lost revenues, </w:t>
                        </w:r>
                        <w:r w:rsidR="003E1A5F">
                          <w:rPr>
                            <w:rFonts w:ascii="Helvetica" w:hAnsi="Helvetica" w:cs="Helvetica"/>
                          </w:rPr>
                          <w:t>the manner in which the lost revenue resources can or cannot be spent will also impact the timing of revenue recognition</w:t>
                        </w:r>
                        <w:bookmarkEnd w:id="1"/>
                        <w:r w:rsidR="003E1A5F">
                          <w:rPr>
                            <w:rFonts w:ascii="Helvetica" w:hAnsi="Helvetica" w:cs="Helvetica"/>
                          </w:rPr>
                          <w:t xml:space="preserve">. </w:t>
                        </w:r>
                      </w:p>
                      <w:p w:rsidR="003E1A5F" w:rsidRDefault="003E1A5F" w:rsidP="007F7534">
                        <w:pPr>
                          <w:spacing w:before="100" w:beforeAutospacing="1" w:after="100" w:afterAutospacing="1" w:line="360" w:lineRule="auto"/>
                          <w:rPr>
                            <w:rFonts w:ascii="Helvetica" w:hAnsi="Helvetica" w:cs="Helvetica"/>
                          </w:rPr>
                        </w:pPr>
                        <w:bookmarkStart w:id="3" w:name="_Hlk83025860"/>
                        <w:r>
                          <w:rPr>
                            <w:rFonts w:ascii="Helvetica" w:hAnsi="Helvetica" w:cs="Helvetica"/>
                          </w:rPr>
                          <w:lastRenderedPageBreak/>
                          <w:t>The Government Industry Alert includes non-authoritative guidance that has been prepared by the AICPA Governmental Audit Quality Center (GAQC) to assist auditees and auditors as they consider the complexities involved with new federal funding</w:t>
                        </w:r>
                        <w:r w:rsidR="00C8019E">
                          <w:rPr>
                            <w:rFonts w:ascii="Helvetica" w:hAnsi="Helvetica" w:cs="Helvetica"/>
                          </w:rPr>
                          <w:t xml:space="preserve">, such as </w:t>
                        </w:r>
                        <w:r>
                          <w:rPr>
                            <w:rFonts w:ascii="Helvetica" w:hAnsi="Helvetica" w:cs="Helvetica"/>
                          </w:rPr>
                          <w:t>American Rescue Plan Act</w:t>
                        </w:r>
                        <w:r w:rsidR="00C8019E">
                          <w:rPr>
                            <w:rFonts w:ascii="Helvetica" w:hAnsi="Helvetica" w:cs="Helvetica"/>
                          </w:rPr>
                          <w:t xml:space="preserve"> funds</w:t>
                        </w:r>
                        <w:r>
                          <w:rPr>
                            <w:rFonts w:ascii="Helvetica" w:hAnsi="Helvetica" w:cs="Helvetica"/>
                          </w:rPr>
                          <w:t>, and the timing of when that funding should be included on the Schedule of Expenditures of Federal Awards (SEFA).</w:t>
                        </w:r>
                        <w:bookmarkEnd w:id="3"/>
                        <w:r>
                          <w:rPr>
                            <w:rFonts w:ascii="Helvetica" w:hAnsi="Helvetica" w:cs="Helvetica"/>
                          </w:rPr>
                          <w:t xml:space="preserve"> </w:t>
                        </w:r>
                      </w:p>
                      <w:p w:rsidR="007F7534" w:rsidRDefault="00852F07" w:rsidP="007F7534">
                        <w:pPr>
                          <w:spacing w:before="100" w:beforeAutospacing="1" w:after="100" w:afterAutospacing="1" w:line="360" w:lineRule="auto"/>
                          <w:rPr>
                            <w:rFonts w:ascii="Helvetica" w:hAnsi="Helvetica" w:cs="Helvetica"/>
                          </w:rPr>
                        </w:pPr>
                        <w:r>
                          <w:rPr>
                            <w:rFonts w:ascii="Helvetica" w:hAnsi="Helvetica" w:cs="Helvetica"/>
                          </w:rPr>
                          <w:t>CCMA’s</w:t>
                        </w:r>
                        <w:r w:rsidR="007F7534">
                          <w:rPr>
                            <w:rFonts w:ascii="Helvetica" w:hAnsi="Helvetica" w:cs="Helvetica"/>
                          </w:rPr>
                          <w:t xml:space="preserve"> </w:t>
                        </w:r>
                        <w:r w:rsidR="007F2F76">
                          <w:rPr>
                            <w:rFonts w:ascii="Helvetica" w:hAnsi="Helvetica" w:cs="Helvetica"/>
                          </w:rPr>
                          <w:t>Government Industry Alert</w:t>
                        </w:r>
                        <w:r w:rsidR="007F7534">
                          <w:rPr>
                            <w:rFonts w:ascii="Helvetica" w:hAnsi="Helvetica" w:cs="Helvetica"/>
                          </w:rPr>
                          <w:t xml:space="preserve"> can be found at </w:t>
                        </w:r>
                        <w:hyperlink r:id="rId9" w:tgtFrame="_blank" w:history="1">
                          <w:r w:rsidR="007F7534">
                            <w:rPr>
                              <w:rStyle w:val="Hyperlink"/>
                              <w:rFonts w:ascii="Helvetica" w:hAnsi="Helvetica" w:cs="Helvetica"/>
                            </w:rPr>
                            <w:t>https://www.calcpa.org/members/technical-resources/gaa-white-papers</w:t>
                          </w:r>
                        </w:hyperlink>
                        <w:r w:rsidR="007F7534">
                          <w:rPr>
                            <w:rFonts w:ascii="Helvetica" w:hAnsi="Helvetica" w:cs="Helvetica"/>
                          </w:rPr>
                          <w:t xml:space="preserve">. </w:t>
                        </w:r>
                      </w:p>
                      <w:p w:rsidR="0063756D" w:rsidRDefault="003A52D6" w:rsidP="007F7534">
                        <w:pPr>
                          <w:spacing w:before="100" w:beforeAutospacing="1" w:after="100" w:afterAutospacing="1" w:line="360" w:lineRule="auto"/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</w:rPr>
                          <w:t>I</w:t>
                        </w:r>
                        <w:r w:rsidR="007F7534">
                          <w:rPr>
                            <w:rFonts w:ascii="Helvetica" w:hAnsi="Helvetica" w:cs="Helvetica"/>
                          </w:rPr>
                          <w:t>f you have questions regarding this topic, contact Jason Al-Imam, Chair of the Professional Standards Committee at</w:t>
                        </w:r>
                        <w:r w:rsidR="007F7534">
                          <w:rPr>
                            <w:rFonts w:ascii="Helvetica" w:hAnsi="Helvetica" w:cs="Helvetica"/>
                            <w:color w:val="202020"/>
                          </w:rPr>
                          <w:t> </w:t>
                        </w:r>
                        <w:hyperlink r:id="rId10" w:tgtFrame="_blank" w:history="1">
                          <w:r w:rsidR="007F7534">
                            <w:rPr>
                              <w:rStyle w:val="Hyperlink"/>
                              <w:rFonts w:ascii="Helvetica" w:hAnsi="Helvetica" w:cs="Helvetica"/>
                              <w:color w:val="007C89"/>
                            </w:rPr>
                            <w:t>standards.chair@csmfo.org</w:t>
                          </w:r>
                        </w:hyperlink>
                        <w:r w:rsidR="007F7534">
                          <w:rPr>
                            <w:rFonts w:ascii="Helvetica" w:hAnsi="Helvetica" w:cs="Helvetica"/>
                            <w:color w:val="202020"/>
                          </w:rPr>
                          <w:t xml:space="preserve">. </w:t>
                        </w:r>
                      </w:p>
                    </w:tc>
                  </w:tr>
                </w:tbl>
                <w:p w:rsidR="0063756D" w:rsidRDefault="0063756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3756D" w:rsidRDefault="0063756D">
            <w:pPr>
              <w:rPr>
                <w:vanish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3756D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3756D" w:rsidRDefault="0063756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3756D" w:rsidRDefault="0063756D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D335AA" w:rsidRDefault="00D335AA" w:rsidP="006C2078"/>
    <w:sectPr w:rsidR="00D335AA" w:rsidSect="00A87066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C49" w:rsidRDefault="001B5C49" w:rsidP="007F3BD5">
      <w:r>
        <w:separator/>
      </w:r>
    </w:p>
  </w:endnote>
  <w:endnote w:type="continuationSeparator" w:id="0">
    <w:p w:rsidR="001B5C49" w:rsidRDefault="001B5C49" w:rsidP="007F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C49" w:rsidRDefault="001B5C49" w:rsidP="007F3BD5">
      <w:r>
        <w:separator/>
      </w:r>
    </w:p>
  </w:footnote>
  <w:footnote w:type="continuationSeparator" w:id="0">
    <w:p w:rsidR="001B5C49" w:rsidRDefault="001B5C49" w:rsidP="007F3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0AAC"/>
    <w:multiLevelType w:val="hybridMultilevel"/>
    <w:tmpl w:val="18409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3601F"/>
    <w:multiLevelType w:val="hybridMultilevel"/>
    <w:tmpl w:val="869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56"/>
    <w:rsid w:val="00003DC4"/>
    <w:rsid w:val="0008751F"/>
    <w:rsid w:val="00090516"/>
    <w:rsid w:val="000E316A"/>
    <w:rsid w:val="00172C4C"/>
    <w:rsid w:val="001B5C49"/>
    <w:rsid w:val="001B662C"/>
    <w:rsid w:val="001F263A"/>
    <w:rsid w:val="00227CDA"/>
    <w:rsid w:val="002A51EA"/>
    <w:rsid w:val="00324803"/>
    <w:rsid w:val="00355C23"/>
    <w:rsid w:val="00371884"/>
    <w:rsid w:val="003A52D6"/>
    <w:rsid w:val="003C6318"/>
    <w:rsid w:val="003E1A5F"/>
    <w:rsid w:val="00401FE2"/>
    <w:rsid w:val="0042302B"/>
    <w:rsid w:val="005029EB"/>
    <w:rsid w:val="005273DE"/>
    <w:rsid w:val="0055255B"/>
    <w:rsid w:val="0055491B"/>
    <w:rsid w:val="005C180A"/>
    <w:rsid w:val="005F7814"/>
    <w:rsid w:val="006051BB"/>
    <w:rsid w:val="00620484"/>
    <w:rsid w:val="0063756D"/>
    <w:rsid w:val="00645FD5"/>
    <w:rsid w:val="0067324A"/>
    <w:rsid w:val="006C2078"/>
    <w:rsid w:val="006D06CF"/>
    <w:rsid w:val="006E45AE"/>
    <w:rsid w:val="006F6526"/>
    <w:rsid w:val="007524D0"/>
    <w:rsid w:val="00785982"/>
    <w:rsid w:val="00787425"/>
    <w:rsid w:val="007C4341"/>
    <w:rsid w:val="007D572E"/>
    <w:rsid w:val="007F2F76"/>
    <w:rsid w:val="007F3BD5"/>
    <w:rsid w:val="007F7534"/>
    <w:rsid w:val="00810071"/>
    <w:rsid w:val="00852F07"/>
    <w:rsid w:val="009030FF"/>
    <w:rsid w:val="00921E2A"/>
    <w:rsid w:val="00934205"/>
    <w:rsid w:val="009754E8"/>
    <w:rsid w:val="00981236"/>
    <w:rsid w:val="009E63FC"/>
    <w:rsid w:val="009F067F"/>
    <w:rsid w:val="00A20E7D"/>
    <w:rsid w:val="00A40716"/>
    <w:rsid w:val="00A670CA"/>
    <w:rsid w:val="00A87066"/>
    <w:rsid w:val="00AD6974"/>
    <w:rsid w:val="00B835B4"/>
    <w:rsid w:val="00B90556"/>
    <w:rsid w:val="00B919BB"/>
    <w:rsid w:val="00BB0406"/>
    <w:rsid w:val="00BB0548"/>
    <w:rsid w:val="00BB4C47"/>
    <w:rsid w:val="00C041E3"/>
    <w:rsid w:val="00C4759F"/>
    <w:rsid w:val="00C60DFF"/>
    <w:rsid w:val="00C8019E"/>
    <w:rsid w:val="00CE10A5"/>
    <w:rsid w:val="00D335AA"/>
    <w:rsid w:val="00DB730A"/>
    <w:rsid w:val="00DD0ACA"/>
    <w:rsid w:val="00DD1DFA"/>
    <w:rsid w:val="00E25F0F"/>
    <w:rsid w:val="00E66646"/>
    <w:rsid w:val="00E727C2"/>
    <w:rsid w:val="00E77C13"/>
    <w:rsid w:val="00EB27B1"/>
    <w:rsid w:val="00EC1C62"/>
    <w:rsid w:val="00EC71CC"/>
    <w:rsid w:val="00EC75EA"/>
    <w:rsid w:val="00ED11AC"/>
    <w:rsid w:val="00F20711"/>
    <w:rsid w:val="00F9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3B7BA"/>
  <w15:chartTrackingRefBased/>
  <w15:docId w15:val="{4EB855E9-4DB8-4302-A0AB-BB4A8230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E2A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6375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7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5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5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3B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BD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F3B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BD5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375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375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756D"/>
    <w:rPr>
      <w:b/>
      <w:bCs/>
    </w:rPr>
  </w:style>
  <w:style w:type="paragraph" w:styleId="ListParagraph">
    <w:name w:val="List Paragraph"/>
    <w:basedOn w:val="Normal"/>
    <w:uiPriority w:val="34"/>
    <w:qFormat/>
    <w:rsid w:val="00401FE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51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70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tandards.chair@csmf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cpa.org/members/technical-resources/gaa-white-pap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Al-Imam</dc:creator>
  <cp:keywords/>
  <dc:description/>
  <cp:lastModifiedBy>Al-Imam, Jason</cp:lastModifiedBy>
  <cp:revision>9</cp:revision>
  <cp:lastPrinted>2021-09-20T17:13:00Z</cp:lastPrinted>
  <dcterms:created xsi:type="dcterms:W3CDTF">2020-05-07T19:37:00Z</dcterms:created>
  <dcterms:modified xsi:type="dcterms:W3CDTF">2021-09-20T18:20:00Z</dcterms:modified>
</cp:coreProperties>
</file>