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63756D" w14:paraId="02ECE697" w14:textId="77777777" w:rsidTr="0063756D">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63756D" w14:paraId="2EA41B6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63756D" w14:paraId="446345EF" w14:textId="77777777" w:rsidTr="0063756D">
                    <w:tc>
                      <w:tcPr>
                        <w:tcW w:w="0" w:type="auto"/>
                        <w:shd w:val="clear" w:color="auto" w:fill="auto"/>
                        <w:tcMar>
                          <w:top w:w="0" w:type="dxa"/>
                          <w:left w:w="135" w:type="dxa"/>
                          <w:bottom w:w="0" w:type="dxa"/>
                          <w:right w:w="135" w:type="dxa"/>
                        </w:tcMar>
                        <w:hideMark/>
                      </w:tcPr>
                      <w:p w14:paraId="644BA0C3" w14:textId="77777777" w:rsidR="0063756D" w:rsidRDefault="0063756D">
                        <w:pPr>
                          <w:jc w:val="center"/>
                          <w:rPr>
                            <w:rFonts w:ascii="Times New Roman" w:hAnsi="Times New Roman" w:cs="Times New Roman"/>
                          </w:rPr>
                        </w:pPr>
                        <w:r>
                          <w:rPr>
                            <w:noProof/>
                          </w:rPr>
                          <w:drawing>
                            <wp:inline distT="0" distB="0" distL="0" distR="0" wp14:anchorId="67C8AB77" wp14:editId="1866D125">
                              <wp:extent cx="948690" cy="798195"/>
                              <wp:effectExtent l="0" t="0" r="3810" b="1905"/>
                              <wp:docPr id="4" name="Picture 4" descr="https://gallery.mailchimp.com/930bb0fab56bfc2a1e3383126/images/b3d23eea-c2ed-427c-a336-f976d60acf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930bb0fab56bfc2a1e3383126/images/b3d23eea-c2ed-427c-a336-f976d60acf3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690" cy="798195"/>
                                      </a:xfrm>
                                      <a:prstGeom prst="rect">
                                        <a:avLst/>
                                      </a:prstGeom>
                                      <a:noFill/>
                                      <a:ln>
                                        <a:noFill/>
                                      </a:ln>
                                    </pic:spPr>
                                  </pic:pic>
                                </a:graphicData>
                              </a:graphic>
                            </wp:inline>
                          </w:drawing>
                        </w:r>
                      </w:p>
                    </w:tc>
                  </w:tr>
                </w:tbl>
                <w:p w14:paraId="2F7ECDA6" w14:textId="77777777" w:rsidR="0063756D" w:rsidRDefault="0063756D"/>
              </w:tc>
            </w:tr>
          </w:tbl>
          <w:p w14:paraId="68BBAD1B" w14:textId="77777777" w:rsidR="0063756D" w:rsidRDefault="0063756D">
            <w:pPr>
              <w:rPr>
                <w:color w:val="000000"/>
                <w:sz w:val="27"/>
                <w:szCs w:val="27"/>
              </w:rPr>
            </w:pPr>
          </w:p>
        </w:tc>
      </w:tr>
      <w:tr w:rsidR="0063756D" w14:paraId="3123F7E5" w14:textId="77777777" w:rsidTr="0063756D">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63756D" w14:paraId="49B6595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3756D" w14:paraId="24B8A641" w14:textId="77777777">
                    <w:tc>
                      <w:tcPr>
                        <w:tcW w:w="0" w:type="auto"/>
                        <w:tcMar>
                          <w:top w:w="0" w:type="dxa"/>
                          <w:left w:w="270" w:type="dxa"/>
                          <w:bottom w:w="135" w:type="dxa"/>
                          <w:right w:w="270" w:type="dxa"/>
                        </w:tcMar>
                        <w:hideMark/>
                      </w:tcPr>
                      <w:p w14:paraId="5556D30B" w14:textId="77777777" w:rsidR="0063756D" w:rsidRDefault="0063756D">
                        <w:pPr>
                          <w:pStyle w:val="Heading1"/>
                          <w:spacing w:before="0" w:beforeAutospacing="0" w:after="0" w:afterAutospacing="0" w:line="488" w:lineRule="atLeast"/>
                          <w:jc w:val="center"/>
                          <w:rPr>
                            <w:rFonts w:ascii="Helvetica" w:hAnsi="Helvetica" w:cs="Helvetica"/>
                            <w:color w:val="202020"/>
                            <w:sz w:val="39"/>
                            <w:szCs w:val="39"/>
                          </w:rPr>
                        </w:pPr>
                        <w:r>
                          <w:rPr>
                            <w:rFonts w:ascii="Helvetica" w:hAnsi="Helvetica" w:cs="Helvetica"/>
                            <w:color w:val="202020"/>
                            <w:sz w:val="39"/>
                            <w:szCs w:val="39"/>
                          </w:rPr>
                          <w:t>Professional Standards</w:t>
                        </w:r>
                        <w:r>
                          <w:rPr>
                            <w:rFonts w:ascii="Helvetica" w:hAnsi="Helvetica" w:cs="Helvetica"/>
                            <w:color w:val="202020"/>
                            <w:sz w:val="39"/>
                            <w:szCs w:val="39"/>
                          </w:rPr>
                          <w:br/>
                          <w:t>Committee Highlights</w:t>
                        </w:r>
                      </w:p>
                      <w:p w14:paraId="7EEB42EF" w14:textId="77777777" w:rsidR="00BF17EC" w:rsidRPr="00BF17EC" w:rsidRDefault="00BF17EC" w:rsidP="00BF17EC">
                        <w:pPr>
                          <w:pStyle w:val="NormalWeb"/>
                          <w:spacing w:before="0" w:beforeAutospacing="0" w:after="0" w:afterAutospacing="0"/>
                          <w:jc w:val="center"/>
                          <w:rPr>
                            <w:rStyle w:val="Strong"/>
                            <w:sz w:val="16"/>
                            <w:szCs w:val="16"/>
                          </w:rPr>
                        </w:pPr>
                      </w:p>
                      <w:p w14:paraId="2273B7EC" w14:textId="77777777" w:rsidR="00FD5BB2" w:rsidRDefault="00FD5BB2" w:rsidP="00FD5BB2">
                        <w:pPr>
                          <w:pStyle w:val="NormalWeb"/>
                          <w:spacing w:before="0" w:beforeAutospacing="0" w:after="0" w:afterAutospacing="0"/>
                          <w:jc w:val="center"/>
                          <w:rPr>
                            <w:rStyle w:val="Strong"/>
                            <w:rFonts w:ascii="Helvetica" w:hAnsi="Helvetica" w:cs="Helvetica"/>
                            <w:sz w:val="30"/>
                            <w:szCs w:val="30"/>
                          </w:rPr>
                        </w:pPr>
                        <w:r>
                          <w:rPr>
                            <w:rStyle w:val="Strong"/>
                            <w:rFonts w:ascii="Helvetica" w:hAnsi="Helvetica" w:cs="Helvetica"/>
                            <w:sz w:val="30"/>
                            <w:szCs w:val="30"/>
                          </w:rPr>
                          <w:t xml:space="preserve">NEW RESTRICTIONS ON </w:t>
                        </w:r>
                      </w:p>
                      <w:p w14:paraId="4C639E31" w14:textId="77777777" w:rsidR="0063756D" w:rsidRPr="00FD5BB2" w:rsidRDefault="00FD5BB2" w:rsidP="00FD5BB2">
                        <w:pPr>
                          <w:pStyle w:val="NormalWeb"/>
                          <w:spacing w:before="0" w:beforeAutospacing="0" w:after="0" w:afterAutospacing="0"/>
                          <w:jc w:val="center"/>
                          <w:rPr>
                            <w:rFonts w:ascii="Helvetica" w:hAnsi="Helvetica" w:cs="Helvetica"/>
                            <w:b/>
                            <w:bCs/>
                            <w:sz w:val="30"/>
                            <w:szCs w:val="30"/>
                          </w:rPr>
                        </w:pPr>
                        <w:r>
                          <w:rPr>
                            <w:rStyle w:val="Strong"/>
                            <w:rFonts w:ascii="Helvetica" w:hAnsi="Helvetica" w:cs="Helvetica"/>
                            <w:sz w:val="30"/>
                            <w:szCs w:val="30"/>
                          </w:rPr>
                          <w:t>DEVELOPMENT IMPACT FEES ON HOUSING</w:t>
                        </w:r>
                      </w:p>
                    </w:tc>
                  </w:tr>
                </w:tbl>
                <w:p w14:paraId="5ACEC708" w14:textId="77777777" w:rsidR="0063756D" w:rsidRDefault="0063756D">
                  <w:pPr>
                    <w:rPr>
                      <w:rFonts w:ascii="Times New Roman" w:hAnsi="Times New Roman" w:cs="Times New Roman"/>
                    </w:rPr>
                  </w:pPr>
                </w:p>
              </w:tc>
            </w:tr>
          </w:tbl>
          <w:p w14:paraId="738D6957" w14:textId="77777777" w:rsidR="0063756D" w:rsidRDefault="0063756D">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63756D" w14:paraId="735DC5A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63756D" w14:paraId="46F9BEBD" w14:textId="77777777">
                    <w:tc>
                      <w:tcPr>
                        <w:tcW w:w="0" w:type="auto"/>
                        <w:tcMar>
                          <w:top w:w="0" w:type="dxa"/>
                          <w:left w:w="135" w:type="dxa"/>
                          <w:bottom w:w="0" w:type="dxa"/>
                          <w:right w:w="135" w:type="dxa"/>
                        </w:tcMar>
                        <w:hideMark/>
                      </w:tcPr>
                      <w:p w14:paraId="130F248C" w14:textId="77777777" w:rsidR="0063756D" w:rsidRDefault="0063756D">
                        <w:pPr>
                          <w:jc w:val="center"/>
                          <w:rPr>
                            <w:sz w:val="24"/>
                            <w:szCs w:val="24"/>
                          </w:rPr>
                        </w:pPr>
                      </w:p>
                    </w:tc>
                  </w:tr>
                </w:tbl>
                <w:p w14:paraId="7617351E" w14:textId="77777777" w:rsidR="0063756D" w:rsidRDefault="0063756D"/>
              </w:tc>
            </w:tr>
          </w:tbl>
          <w:p w14:paraId="6F742D9F" w14:textId="77777777" w:rsidR="0063756D" w:rsidRDefault="0063756D">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63756D" w14:paraId="0E119AB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3756D" w14:paraId="6F8D002D" w14:textId="77777777">
                    <w:tc>
                      <w:tcPr>
                        <w:tcW w:w="0" w:type="auto"/>
                        <w:tcMar>
                          <w:top w:w="0" w:type="dxa"/>
                          <w:left w:w="270" w:type="dxa"/>
                          <w:bottom w:w="135" w:type="dxa"/>
                          <w:right w:w="270" w:type="dxa"/>
                        </w:tcMar>
                        <w:hideMark/>
                      </w:tcPr>
                      <w:p w14:paraId="57070F24" w14:textId="4CF6FE31" w:rsidR="00BF17EC" w:rsidRPr="00FD5BB2" w:rsidRDefault="009B3A01" w:rsidP="00BF17EC">
                        <w:pPr>
                          <w:jc w:val="center"/>
                          <w:rPr>
                            <w:rFonts w:ascii="Helvetica" w:hAnsi="Helvetica" w:cs="Helvetica"/>
                            <w:b/>
                            <w:i/>
                            <w:color w:val="0070C0"/>
                          </w:rPr>
                        </w:pPr>
                        <w:r>
                          <w:rPr>
                            <w:rFonts w:ascii="Helvetica" w:hAnsi="Helvetica" w:cs="Helvetica"/>
                            <w:b/>
                            <w:i/>
                            <w:noProof/>
                            <w:color w:val="0070C0"/>
                          </w:rPr>
                          <w:drawing>
                            <wp:inline distT="0" distB="0" distL="0" distR="0" wp14:anchorId="3A828E1E" wp14:editId="67F9976C">
                              <wp:extent cx="4389618" cy="2927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5191" cy="2937735"/>
                                      </a:xfrm>
                                      <a:prstGeom prst="rect">
                                        <a:avLst/>
                                      </a:prstGeom>
                                    </pic:spPr>
                                  </pic:pic>
                                </a:graphicData>
                              </a:graphic>
                            </wp:inline>
                          </w:drawing>
                        </w:r>
                      </w:p>
                      <w:tbl>
                        <w:tblPr>
                          <w:tblpPr w:leftFromText="45" w:rightFromText="45" w:vertAnchor="text"/>
                          <w:tblW w:w="5000" w:type="pct"/>
                          <w:tblCellMar>
                            <w:left w:w="0" w:type="dxa"/>
                            <w:right w:w="0" w:type="dxa"/>
                          </w:tblCellMar>
                          <w:tblLook w:val="04A0" w:firstRow="1" w:lastRow="0" w:firstColumn="1" w:lastColumn="0" w:noHBand="0" w:noVBand="1"/>
                        </w:tblPr>
                        <w:tblGrid>
                          <w:gridCol w:w="8820"/>
                        </w:tblGrid>
                        <w:tr w:rsidR="00BF17EC" w14:paraId="6E74EE84" w14:textId="77777777" w:rsidTr="00BF17EC">
                          <w:tc>
                            <w:tcPr>
                              <w:tcW w:w="0" w:type="auto"/>
                              <w:tcMar>
                                <w:top w:w="0" w:type="dxa"/>
                                <w:left w:w="270" w:type="dxa"/>
                                <w:bottom w:w="135" w:type="dxa"/>
                                <w:right w:w="270" w:type="dxa"/>
                              </w:tcMar>
                              <w:hideMark/>
                            </w:tcPr>
                            <w:p w14:paraId="44DCC4F3" w14:textId="77777777" w:rsidR="00BF17EC" w:rsidRDefault="00BF17EC" w:rsidP="00BF17EC">
                              <w:pPr>
                                <w:spacing w:line="360" w:lineRule="auto"/>
                                <w:rPr>
                                  <w:rFonts w:ascii="Helvetica" w:hAnsi="Helvetica" w:cs="Helvetica"/>
                                </w:rPr>
                              </w:pPr>
                            </w:p>
                            <w:p w14:paraId="647C7531" w14:textId="77777777" w:rsidR="00FD5BB2" w:rsidRDefault="00FD5BB2" w:rsidP="00BF17EC">
                              <w:pPr>
                                <w:spacing w:line="360" w:lineRule="auto"/>
                                <w:rPr>
                                  <w:rFonts w:ascii="Helvetica" w:hAnsi="Helvetica" w:cs="Helvetica"/>
                                </w:rPr>
                              </w:pPr>
                            </w:p>
                            <w:p w14:paraId="15A8CD9E" w14:textId="77777777" w:rsidR="00FD5BB2" w:rsidRPr="00FD5BB2" w:rsidRDefault="00FD5BB2" w:rsidP="00FD5BB2">
                              <w:pPr>
                                <w:spacing w:line="360" w:lineRule="auto"/>
                                <w:rPr>
                                  <w:rFonts w:ascii="Helvetica" w:hAnsi="Helvetica" w:cs="Helvetica"/>
                                </w:rPr>
                              </w:pPr>
                              <w:bookmarkStart w:id="0" w:name="_Hlk87342201"/>
                              <w:r w:rsidRPr="00FD5BB2">
                                <w:rPr>
                                  <w:rFonts w:ascii="Helvetica" w:hAnsi="Helvetica" w:cs="Helvetica"/>
                                </w:rPr>
                                <w:t>In September 2021, recently enacted A</w:t>
                              </w:r>
                              <w:r>
                                <w:rPr>
                                  <w:rFonts w:ascii="Helvetica" w:hAnsi="Helvetica" w:cs="Helvetica"/>
                                </w:rPr>
                                <w:t xml:space="preserve">ssembly </w:t>
                              </w:r>
                              <w:r w:rsidRPr="00FD5BB2">
                                <w:rPr>
                                  <w:rFonts w:ascii="Helvetica" w:hAnsi="Helvetica" w:cs="Helvetica"/>
                                </w:rPr>
                                <w:t>B</w:t>
                              </w:r>
                              <w:r>
                                <w:rPr>
                                  <w:rFonts w:ascii="Helvetica" w:hAnsi="Helvetica" w:cs="Helvetica"/>
                                </w:rPr>
                                <w:t>ill</w:t>
                              </w:r>
                              <w:r w:rsidRPr="00FD5BB2">
                                <w:rPr>
                                  <w:rFonts w:ascii="Helvetica" w:hAnsi="Helvetica" w:cs="Helvetica"/>
                                </w:rPr>
                                <w:t xml:space="preserve"> 602 creates new requirements for impact fees that will take effect in 2022. The new law amends some sections of the Government Code to impose a number of requirements. Beginning on January 1, 2022: </w:t>
                              </w:r>
                            </w:p>
                            <w:p w14:paraId="07E4E0B2" w14:textId="77777777" w:rsidR="00FD5BB2" w:rsidRDefault="00FD5BB2" w:rsidP="00FD5BB2">
                              <w:pPr>
                                <w:pStyle w:val="ListParagraph"/>
                                <w:numPr>
                                  <w:ilvl w:val="0"/>
                                  <w:numId w:val="2"/>
                                </w:numPr>
                                <w:spacing w:line="360" w:lineRule="auto"/>
                                <w:rPr>
                                  <w:rFonts w:ascii="Helvetica" w:hAnsi="Helvetica" w:cs="Helvetica"/>
                                </w:rPr>
                              </w:pPr>
                              <w:r w:rsidRPr="00FD5BB2">
                                <w:rPr>
                                  <w:rFonts w:ascii="Helvetica" w:hAnsi="Helvetica" w:cs="Helvetica"/>
                                </w:rPr>
                                <w:t xml:space="preserve">A city, county or special district that has an internet website shall post a current written schedule of fees, exactions, affordability requirements applicable to a proposed housing development project, as well as a lot of other information. All such information shall be updated within 30 days of any changes. </w:t>
                              </w:r>
                            </w:p>
                            <w:p w14:paraId="728CCC47" w14:textId="77777777" w:rsidR="00FD5BB2" w:rsidRPr="00FD5BB2" w:rsidRDefault="00FD5BB2" w:rsidP="00FD5BB2">
                              <w:pPr>
                                <w:pStyle w:val="ListParagraph"/>
                                <w:spacing w:line="360" w:lineRule="auto"/>
                                <w:rPr>
                                  <w:rFonts w:ascii="Helvetica" w:hAnsi="Helvetica" w:cs="Helvetica"/>
                                </w:rPr>
                              </w:pPr>
                            </w:p>
                            <w:p w14:paraId="1E85A1CD" w14:textId="77777777" w:rsidR="00FD5BB2" w:rsidRDefault="00FD5BB2" w:rsidP="00FD5BB2">
                              <w:pPr>
                                <w:pStyle w:val="ListParagraph"/>
                                <w:numPr>
                                  <w:ilvl w:val="0"/>
                                  <w:numId w:val="2"/>
                                </w:numPr>
                                <w:spacing w:line="360" w:lineRule="auto"/>
                                <w:rPr>
                                  <w:rFonts w:ascii="Helvetica" w:hAnsi="Helvetica" w:cs="Helvetica"/>
                                </w:rPr>
                              </w:pPr>
                              <w:r w:rsidRPr="00FD5BB2">
                                <w:rPr>
                                  <w:rFonts w:ascii="Helvetica" w:hAnsi="Helvetica" w:cs="Helvetica"/>
                                </w:rPr>
                                <w:t xml:space="preserve">Before the adoption of an impact fee, an impact fee nexus study shall be performed and adopted. </w:t>
                              </w:r>
                            </w:p>
                            <w:p w14:paraId="079CFF6E" w14:textId="77777777" w:rsidR="00FD5BB2" w:rsidRPr="00FD5BB2" w:rsidRDefault="00FD5BB2" w:rsidP="00FD5BB2">
                              <w:pPr>
                                <w:pStyle w:val="ListParagraph"/>
                                <w:spacing w:line="360" w:lineRule="auto"/>
                                <w:rPr>
                                  <w:rFonts w:ascii="Helvetica" w:hAnsi="Helvetica" w:cs="Helvetica"/>
                                </w:rPr>
                              </w:pPr>
                            </w:p>
                            <w:p w14:paraId="2CFFDD27" w14:textId="77777777" w:rsidR="00FD5BB2" w:rsidRDefault="00FD5BB2" w:rsidP="00FD5BB2">
                              <w:pPr>
                                <w:pStyle w:val="ListParagraph"/>
                                <w:numPr>
                                  <w:ilvl w:val="0"/>
                                  <w:numId w:val="2"/>
                                </w:numPr>
                                <w:spacing w:line="360" w:lineRule="auto"/>
                                <w:rPr>
                                  <w:rFonts w:ascii="Helvetica" w:hAnsi="Helvetica" w:cs="Helvetica"/>
                                </w:rPr>
                              </w:pPr>
                              <w:r w:rsidRPr="00FD5BB2">
                                <w:rPr>
                                  <w:rFonts w:ascii="Helvetica" w:hAnsi="Helvetica" w:cs="Helvetica"/>
                                </w:rPr>
                                <w:lastRenderedPageBreak/>
                                <w:t xml:space="preserve">The nexus study shall identify the existing level of service for each public facility, identify the proposed new level of service, and explain why the new level of service is appropriate. </w:t>
                              </w:r>
                            </w:p>
                            <w:p w14:paraId="6ED3F1DD" w14:textId="77777777" w:rsidR="00FD5BB2" w:rsidRPr="00FD5BB2" w:rsidRDefault="00FD5BB2" w:rsidP="00FD5BB2">
                              <w:pPr>
                                <w:pStyle w:val="ListParagraph"/>
                                <w:spacing w:line="360" w:lineRule="auto"/>
                                <w:rPr>
                                  <w:rFonts w:ascii="Helvetica" w:hAnsi="Helvetica" w:cs="Helvetica"/>
                                </w:rPr>
                              </w:pPr>
                            </w:p>
                            <w:p w14:paraId="53F29D2D" w14:textId="77777777" w:rsidR="00FD5BB2" w:rsidRDefault="00FD5BB2" w:rsidP="00FD5BB2">
                              <w:pPr>
                                <w:pStyle w:val="ListParagraph"/>
                                <w:numPr>
                                  <w:ilvl w:val="0"/>
                                  <w:numId w:val="2"/>
                                </w:numPr>
                                <w:spacing w:line="360" w:lineRule="auto"/>
                                <w:rPr>
                                  <w:rFonts w:ascii="Helvetica" w:hAnsi="Helvetica" w:cs="Helvetica"/>
                                </w:rPr>
                              </w:pPr>
                              <w:r w:rsidRPr="00FD5BB2">
                                <w:rPr>
                                  <w:rFonts w:ascii="Helvetica" w:hAnsi="Helvetica" w:cs="Helvetica"/>
                                </w:rPr>
                                <w:t xml:space="preserve">Large jurisdictions, as defined in Section 53559.1 (d) of the Health and Safety Code (counties of 250,000 or more and cities within those counties), shall adopt a capital improvement plan as part of a nexus study. </w:t>
                              </w:r>
                            </w:p>
                            <w:p w14:paraId="1D84A4C9" w14:textId="77777777" w:rsidR="00FD5BB2" w:rsidRPr="00FD5BB2" w:rsidRDefault="00FD5BB2" w:rsidP="00FD5BB2">
                              <w:pPr>
                                <w:pStyle w:val="ListParagraph"/>
                                <w:spacing w:line="360" w:lineRule="auto"/>
                                <w:rPr>
                                  <w:rFonts w:ascii="Helvetica" w:hAnsi="Helvetica" w:cs="Helvetica"/>
                                </w:rPr>
                              </w:pPr>
                            </w:p>
                            <w:p w14:paraId="04B279E8" w14:textId="77777777" w:rsidR="00FD5BB2" w:rsidRPr="00FD5BB2" w:rsidRDefault="00FD5BB2" w:rsidP="00FD5BB2">
                              <w:pPr>
                                <w:pStyle w:val="ListParagraph"/>
                                <w:numPr>
                                  <w:ilvl w:val="0"/>
                                  <w:numId w:val="2"/>
                                </w:numPr>
                                <w:spacing w:line="360" w:lineRule="auto"/>
                                <w:rPr>
                                  <w:rFonts w:ascii="Helvetica" w:hAnsi="Helvetica" w:cs="Helvetica"/>
                                </w:rPr>
                              </w:pPr>
                              <w:r w:rsidRPr="00FD5BB2">
                                <w:rPr>
                                  <w:rFonts w:ascii="Helvetica" w:hAnsi="Helvetica" w:cs="Helvetica"/>
                                </w:rPr>
                                <w:t xml:space="preserve">Studies shall be updated at least every eight years, beginning January 1, 2022. </w:t>
                              </w:r>
                            </w:p>
                            <w:p w14:paraId="4DFB6650" w14:textId="77777777" w:rsidR="00FD5BB2" w:rsidRDefault="00FD5BB2" w:rsidP="00FD5BB2">
                              <w:pPr>
                                <w:spacing w:line="360" w:lineRule="auto"/>
                                <w:rPr>
                                  <w:rFonts w:ascii="Helvetica" w:hAnsi="Helvetica" w:cs="Helvetica"/>
                                </w:rPr>
                              </w:pPr>
                            </w:p>
                            <w:p w14:paraId="4090EB45" w14:textId="77777777" w:rsidR="00FD5BB2" w:rsidRDefault="00FD5BB2" w:rsidP="00FD5BB2">
                              <w:pPr>
                                <w:spacing w:line="360" w:lineRule="auto"/>
                                <w:rPr>
                                  <w:rFonts w:ascii="Helvetica" w:hAnsi="Helvetica" w:cs="Helvetica"/>
                                </w:rPr>
                              </w:pPr>
                              <w:r w:rsidRPr="00FD5BB2">
                                <w:rPr>
                                  <w:rFonts w:ascii="Helvetica" w:hAnsi="Helvetica" w:cs="Helvetica"/>
                                </w:rPr>
                                <w:t xml:space="preserve">In addition, a nexus study adopted after July 1, 2022, shall calculate a fee imposed on a housing development project proportionately to the square footage of the proposed units of the development. </w:t>
                              </w:r>
                            </w:p>
                            <w:p w14:paraId="129E989A" w14:textId="77777777" w:rsidR="00FD5BB2" w:rsidRPr="00FD5BB2" w:rsidRDefault="00FD5BB2" w:rsidP="00FD5BB2">
                              <w:pPr>
                                <w:spacing w:line="360" w:lineRule="auto"/>
                                <w:rPr>
                                  <w:rFonts w:ascii="Helvetica" w:hAnsi="Helvetica" w:cs="Helvetica"/>
                                </w:rPr>
                              </w:pPr>
                            </w:p>
                            <w:p w14:paraId="6950F9F3" w14:textId="77777777" w:rsidR="00C74F50" w:rsidRDefault="00FD5BB2" w:rsidP="00FD5BB2">
                              <w:pPr>
                                <w:spacing w:line="360" w:lineRule="auto"/>
                                <w:rPr>
                                  <w:rFonts w:ascii="Helvetica" w:hAnsi="Helvetica" w:cs="Helvetica"/>
                                </w:rPr>
                              </w:pPr>
                              <w:r w:rsidRPr="00FD5BB2">
                                <w:rPr>
                                  <w:rFonts w:ascii="Helvetica" w:hAnsi="Helvetica" w:cs="Helvetica"/>
                                </w:rPr>
                                <w:t>These requirements will affect how California agencies structure and implement their development impact fee programs in the years to come.</w:t>
                              </w:r>
                            </w:p>
                            <w:p w14:paraId="6291CD58" w14:textId="77777777" w:rsidR="00FD5BB2" w:rsidRDefault="00FD5BB2" w:rsidP="00FD5BB2">
                              <w:pPr>
                                <w:spacing w:line="360" w:lineRule="auto"/>
                                <w:rPr>
                                  <w:rFonts w:ascii="Helvetica" w:hAnsi="Helvetica" w:cs="Helvetica"/>
                                </w:rPr>
                              </w:pPr>
                            </w:p>
                            <w:p w14:paraId="0E7FA2A8" w14:textId="77777777" w:rsidR="00FD5BB2" w:rsidRDefault="00FD5BB2" w:rsidP="00FD5BB2">
                              <w:pPr>
                                <w:spacing w:after="100" w:afterAutospacing="1" w:line="360" w:lineRule="auto"/>
                                <w:rPr>
                                  <w:rFonts w:ascii="Helvetica" w:hAnsi="Helvetica" w:cs="Helvetica"/>
                                </w:rPr>
                              </w:pPr>
                              <w:r>
                                <w:rPr>
                                  <w:rFonts w:ascii="Helvetica" w:hAnsi="Helvetica" w:cs="Helvetica"/>
                                </w:rPr>
                                <w:t xml:space="preserve">You can also find Committee Highlights on other topics at </w:t>
                              </w:r>
                              <w:hyperlink r:id="rId9" w:history="1">
                                <w:r>
                                  <w:rPr>
                                    <w:rStyle w:val="Hyperlink"/>
                                    <w:rFonts w:ascii="Helvetica" w:hAnsi="Helvetica" w:cs="Helvetica"/>
                                  </w:rPr>
                                  <w:t>https://www.csmfo.org/professional-standards-committee-highlights/</w:t>
                                </w:r>
                              </w:hyperlink>
                              <w:r>
                                <w:rPr>
                                  <w:rFonts w:ascii="Helvetica" w:hAnsi="Helvetica" w:cs="Helvetica"/>
                                </w:rPr>
                                <w:t xml:space="preserve">. </w:t>
                              </w:r>
                              <w:bookmarkEnd w:id="0"/>
                            </w:p>
                            <w:p w14:paraId="518FB9E8" w14:textId="77777777" w:rsidR="00BF17EC" w:rsidRDefault="00BF17EC" w:rsidP="00FD5BB2">
                              <w:pPr>
                                <w:spacing w:after="100" w:afterAutospacing="1" w:line="360" w:lineRule="auto"/>
                                <w:rPr>
                                  <w:rFonts w:ascii="Times New Roman" w:hAnsi="Times New Roman" w:cs="Times New Roman"/>
                                </w:rPr>
                              </w:pPr>
                              <w:r>
                                <w:rPr>
                                  <w:rFonts w:ascii="Helvetica" w:hAnsi="Helvetica" w:cs="Helvetica"/>
                                </w:rPr>
                                <w:t>If you have questions regarding this topic, contact Jason Al-Imam, Chair of the Professional Standards Committee at</w:t>
                              </w:r>
                              <w:r>
                                <w:rPr>
                                  <w:rFonts w:ascii="Helvetica" w:hAnsi="Helvetica" w:cs="Helvetica"/>
                                  <w:color w:val="202020"/>
                                </w:rPr>
                                <w:t> </w:t>
                              </w:r>
                              <w:hyperlink r:id="rId10" w:tgtFrame="_blank" w:history="1">
                                <w:r>
                                  <w:rPr>
                                    <w:rStyle w:val="Hyperlink"/>
                                    <w:rFonts w:ascii="Helvetica" w:hAnsi="Helvetica" w:cs="Helvetica"/>
                                    <w:color w:val="007C89"/>
                                  </w:rPr>
                                  <w:t>standards.chair@csmfo.org</w:t>
                                </w:r>
                              </w:hyperlink>
                              <w:r>
                                <w:rPr>
                                  <w:rFonts w:ascii="Helvetica" w:hAnsi="Helvetica" w:cs="Helvetica"/>
                                  <w:color w:val="202020"/>
                                </w:rPr>
                                <w:t xml:space="preserve">. </w:t>
                              </w:r>
                            </w:p>
                            <w:p w14:paraId="11DBDFF0" w14:textId="77777777" w:rsidR="00BF17EC" w:rsidRDefault="009B3A01" w:rsidP="00BF17EC">
                              <w:pPr>
                                <w:spacing w:line="360" w:lineRule="auto"/>
                                <w:jc w:val="center"/>
                                <w:rPr>
                                  <w:rFonts w:ascii="Helvetica" w:hAnsi="Helvetica" w:cs="Helvetica"/>
                                  <w:color w:val="202020"/>
                                </w:rPr>
                              </w:pPr>
                              <w:r>
                                <w:rPr>
                                  <w:rFonts w:ascii="Helvetica" w:hAnsi="Helvetica" w:cs="Helvetica"/>
                                  <w:color w:val="202020"/>
                                </w:rPr>
                                <w:pict w14:anchorId="3B7234E9">
                                  <v:rect id="_x0000_i1025" style="width:468pt;height:1.5pt" o:hralign="center" o:hrstd="t" o:hr="t" fillcolor="#a0a0a0" stroked="f"/>
                                </w:pict>
                              </w:r>
                            </w:p>
                            <w:p w14:paraId="3B2AA7D2" w14:textId="77777777" w:rsidR="00BF17EC" w:rsidRDefault="00BF17EC" w:rsidP="00BF17EC">
                              <w:pPr>
                                <w:spacing w:before="100" w:beforeAutospacing="1" w:after="100" w:afterAutospacing="1" w:line="360" w:lineRule="auto"/>
                                <w:rPr>
                                  <w:rFonts w:ascii="Times New Roman" w:hAnsi="Times New Roman" w:cs="Times New Roman"/>
                                </w:rPr>
                              </w:pPr>
                              <w:r>
                                <w:rPr>
                                  <w:rStyle w:val="Emphasis"/>
                                  <w:rFonts w:ascii="Helvetica" w:hAnsi="Helvetica" w:cs="Helvetica"/>
                                  <w:color w:val="202020"/>
                                </w:rPr>
                                <w:t>The Professional Standards Committee operates as a technical resource to CSMFO members. The Committee is comprised of municipal and commercial members whose mission is to keep members informed of emerging issues and best practices.</w:t>
                              </w:r>
                            </w:p>
                          </w:tc>
                        </w:tr>
                      </w:tbl>
                      <w:p w14:paraId="16EF25E2" w14:textId="77777777" w:rsidR="0063756D" w:rsidRPr="00BF17EC" w:rsidRDefault="007F7534" w:rsidP="00BF17EC">
                        <w:pPr>
                          <w:spacing w:before="100" w:beforeAutospacing="1" w:after="100" w:afterAutospacing="1" w:line="360" w:lineRule="auto"/>
                          <w:rPr>
                            <w:rFonts w:ascii="Times New Roman" w:hAnsi="Times New Roman" w:cs="Times New Roman"/>
                          </w:rPr>
                        </w:pPr>
                        <w:r>
                          <w:rPr>
                            <w:rFonts w:ascii="Helvetica" w:hAnsi="Helvetica" w:cs="Helvetica"/>
                          </w:rPr>
                          <w:lastRenderedPageBreak/>
                          <w:t xml:space="preserve"> </w:t>
                        </w:r>
                      </w:p>
                    </w:tc>
                  </w:tr>
                </w:tbl>
                <w:p w14:paraId="0F4CBD94" w14:textId="77777777" w:rsidR="0063756D" w:rsidRDefault="0063756D" w:rsidP="00BF17EC">
                  <w:pPr>
                    <w:rPr>
                      <w:rFonts w:ascii="Times New Roman" w:hAnsi="Times New Roman" w:cs="Times New Roman"/>
                    </w:rPr>
                  </w:pPr>
                </w:p>
              </w:tc>
            </w:tr>
          </w:tbl>
          <w:p w14:paraId="5469A1BE" w14:textId="77777777" w:rsidR="0063756D" w:rsidRDefault="0063756D">
            <w:pPr>
              <w:rPr>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63756D" w14:paraId="7F344B6B" w14:textId="77777777">
              <w:tc>
                <w:tcPr>
                  <w:tcW w:w="0" w:type="auto"/>
                  <w:tcMar>
                    <w:top w:w="135" w:type="dxa"/>
                    <w:left w:w="0" w:type="dxa"/>
                    <w:bottom w:w="0" w:type="dxa"/>
                    <w:right w:w="0" w:type="dxa"/>
                  </w:tcMar>
                  <w:hideMark/>
                </w:tcPr>
                <w:p w14:paraId="736EDD7F" w14:textId="77777777" w:rsidR="0063756D" w:rsidRDefault="0063756D">
                  <w:pPr>
                    <w:rPr>
                      <w:rFonts w:ascii="Times New Roman" w:hAnsi="Times New Roman" w:cs="Times New Roman"/>
                    </w:rPr>
                  </w:pPr>
                </w:p>
              </w:tc>
            </w:tr>
          </w:tbl>
          <w:p w14:paraId="143E327F" w14:textId="77777777" w:rsidR="0063756D" w:rsidRDefault="0063756D">
            <w:pPr>
              <w:rPr>
                <w:color w:val="000000"/>
                <w:sz w:val="27"/>
                <w:szCs w:val="27"/>
              </w:rPr>
            </w:pPr>
          </w:p>
        </w:tc>
      </w:tr>
    </w:tbl>
    <w:p w14:paraId="4BE9EA27" w14:textId="77777777" w:rsidR="00D335AA" w:rsidRDefault="00D335AA" w:rsidP="006C2078"/>
    <w:sectPr w:rsidR="00D335AA" w:rsidSect="00A87066">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8E6A" w14:textId="77777777" w:rsidR="001E0191" w:rsidRDefault="001E0191" w:rsidP="007F3BD5">
      <w:r>
        <w:separator/>
      </w:r>
    </w:p>
  </w:endnote>
  <w:endnote w:type="continuationSeparator" w:id="0">
    <w:p w14:paraId="2BFAC559" w14:textId="77777777" w:rsidR="001E0191" w:rsidRDefault="001E0191" w:rsidP="007F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9887" w14:textId="77777777" w:rsidR="001E0191" w:rsidRDefault="001E0191" w:rsidP="007F3BD5">
      <w:r>
        <w:separator/>
      </w:r>
    </w:p>
  </w:footnote>
  <w:footnote w:type="continuationSeparator" w:id="0">
    <w:p w14:paraId="742E4785" w14:textId="77777777" w:rsidR="001E0191" w:rsidRDefault="001E0191" w:rsidP="007F3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22052"/>
    <w:multiLevelType w:val="hybridMultilevel"/>
    <w:tmpl w:val="677A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D474F"/>
    <w:multiLevelType w:val="hybridMultilevel"/>
    <w:tmpl w:val="25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56"/>
    <w:rsid w:val="00040853"/>
    <w:rsid w:val="0005467E"/>
    <w:rsid w:val="0010565E"/>
    <w:rsid w:val="00114FF6"/>
    <w:rsid w:val="001801EF"/>
    <w:rsid w:val="001E0191"/>
    <w:rsid w:val="001E072C"/>
    <w:rsid w:val="001F6169"/>
    <w:rsid w:val="00227CDA"/>
    <w:rsid w:val="002642B9"/>
    <w:rsid w:val="00355C23"/>
    <w:rsid w:val="00371884"/>
    <w:rsid w:val="003B2F65"/>
    <w:rsid w:val="00446E38"/>
    <w:rsid w:val="00465A7C"/>
    <w:rsid w:val="00476030"/>
    <w:rsid w:val="004A4DCD"/>
    <w:rsid w:val="0055255B"/>
    <w:rsid w:val="0063160C"/>
    <w:rsid w:val="00631ACB"/>
    <w:rsid w:val="0063756D"/>
    <w:rsid w:val="00645FD5"/>
    <w:rsid w:val="006758B9"/>
    <w:rsid w:val="006C2078"/>
    <w:rsid w:val="006D06CF"/>
    <w:rsid w:val="006E45AE"/>
    <w:rsid w:val="00706AFE"/>
    <w:rsid w:val="00740108"/>
    <w:rsid w:val="00741DAD"/>
    <w:rsid w:val="007524D0"/>
    <w:rsid w:val="00785982"/>
    <w:rsid w:val="007F3BD5"/>
    <w:rsid w:val="007F7534"/>
    <w:rsid w:val="00801833"/>
    <w:rsid w:val="008031F1"/>
    <w:rsid w:val="00806E6B"/>
    <w:rsid w:val="00810071"/>
    <w:rsid w:val="008356B2"/>
    <w:rsid w:val="008668A3"/>
    <w:rsid w:val="00921E2A"/>
    <w:rsid w:val="00981236"/>
    <w:rsid w:val="0098441D"/>
    <w:rsid w:val="009B3A01"/>
    <w:rsid w:val="009E63FC"/>
    <w:rsid w:val="009F067F"/>
    <w:rsid w:val="00A53DBC"/>
    <w:rsid w:val="00A66903"/>
    <w:rsid w:val="00A87066"/>
    <w:rsid w:val="00AD6974"/>
    <w:rsid w:val="00AE4801"/>
    <w:rsid w:val="00B157E3"/>
    <w:rsid w:val="00B835B4"/>
    <w:rsid w:val="00B90556"/>
    <w:rsid w:val="00BB0406"/>
    <w:rsid w:val="00BB0548"/>
    <w:rsid w:val="00BB3772"/>
    <w:rsid w:val="00BF17EC"/>
    <w:rsid w:val="00C31489"/>
    <w:rsid w:val="00C4759F"/>
    <w:rsid w:val="00C60DFF"/>
    <w:rsid w:val="00C74F50"/>
    <w:rsid w:val="00CE10A5"/>
    <w:rsid w:val="00D335AA"/>
    <w:rsid w:val="00D64BDD"/>
    <w:rsid w:val="00D81899"/>
    <w:rsid w:val="00DE06EC"/>
    <w:rsid w:val="00E13677"/>
    <w:rsid w:val="00E21554"/>
    <w:rsid w:val="00E66646"/>
    <w:rsid w:val="00E75F0B"/>
    <w:rsid w:val="00EA79DC"/>
    <w:rsid w:val="00F0463C"/>
    <w:rsid w:val="00F20711"/>
    <w:rsid w:val="00FD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5CBB2"/>
  <w15:chartTrackingRefBased/>
  <w15:docId w15:val="{4EB855E9-4DB8-4302-A0AB-BB4A8230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2A"/>
    <w:pPr>
      <w:spacing w:after="0" w:line="240" w:lineRule="auto"/>
    </w:pPr>
    <w:rPr>
      <w:rFonts w:ascii="Calibri" w:hAnsi="Calibri" w:cs="Calibri"/>
    </w:rPr>
  </w:style>
  <w:style w:type="paragraph" w:styleId="Heading1">
    <w:name w:val="heading 1"/>
    <w:basedOn w:val="Normal"/>
    <w:link w:val="Heading1Char"/>
    <w:uiPriority w:val="9"/>
    <w:qFormat/>
    <w:rsid w:val="0063756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711"/>
    <w:rPr>
      <w:color w:val="0563C1" w:themeColor="hyperlink"/>
      <w:u w:val="single"/>
    </w:rPr>
  </w:style>
  <w:style w:type="paragraph" w:styleId="BalloonText">
    <w:name w:val="Balloon Text"/>
    <w:basedOn w:val="Normal"/>
    <w:link w:val="BalloonTextChar"/>
    <w:uiPriority w:val="99"/>
    <w:semiHidden/>
    <w:unhideWhenUsed/>
    <w:rsid w:val="00552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55B"/>
    <w:rPr>
      <w:rFonts w:ascii="Segoe UI" w:hAnsi="Segoe UI" w:cs="Segoe UI"/>
      <w:sz w:val="18"/>
      <w:szCs w:val="18"/>
    </w:rPr>
  </w:style>
  <w:style w:type="paragraph" w:styleId="Header">
    <w:name w:val="header"/>
    <w:basedOn w:val="Normal"/>
    <w:link w:val="HeaderChar"/>
    <w:uiPriority w:val="99"/>
    <w:unhideWhenUsed/>
    <w:rsid w:val="007F3BD5"/>
    <w:pPr>
      <w:tabs>
        <w:tab w:val="center" w:pos="4680"/>
        <w:tab w:val="right" w:pos="9360"/>
      </w:tabs>
    </w:pPr>
  </w:style>
  <w:style w:type="character" w:customStyle="1" w:styleId="HeaderChar">
    <w:name w:val="Header Char"/>
    <w:basedOn w:val="DefaultParagraphFont"/>
    <w:link w:val="Header"/>
    <w:uiPriority w:val="99"/>
    <w:rsid w:val="007F3BD5"/>
    <w:rPr>
      <w:rFonts w:ascii="Calibri" w:hAnsi="Calibri" w:cs="Calibri"/>
    </w:rPr>
  </w:style>
  <w:style w:type="paragraph" w:styleId="Footer">
    <w:name w:val="footer"/>
    <w:basedOn w:val="Normal"/>
    <w:link w:val="FooterChar"/>
    <w:uiPriority w:val="99"/>
    <w:unhideWhenUsed/>
    <w:rsid w:val="007F3BD5"/>
    <w:pPr>
      <w:tabs>
        <w:tab w:val="center" w:pos="4680"/>
        <w:tab w:val="right" w:pos="9360"/>
      </w:tabs>
    </w:pPr>
  </w:style>
  <w:style w:type="character" w:customStyle="1" w:styleId="FooterChar">
    <w:name w:val="Footer Char"/>
    <w:basedOn w:val="DefaultParagraphFont"/>
    <w:link w:val="Footer"/>
    <w:uiPriority w:val="99"/>
    <w:rsid w:val="007F3BD5"/>
    <w:rPr>
      <w:rFonts w:ascii="Calibri" w:hAnsi="Calibri" w:cs="Calibri"/>
    </w:rPr>
  </w:style>
  <w:style w:type="character" w:customStyle="1" w:styleId="Heading1Char">
    <w:name w:val="Heading 1 Char"/>
    <w:basedOn w:val="DefaultParagraphFont"/>
    <w:link w:val="Heading1"/>
    <w:uiPriority w:val="9"/>
    <w:rsid w:val="0063756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3756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3756D"/>
    <w:rPr>
      <w:b/>
      <w:bCs/>
    </w:rPr>
  </w:style>
  <w:style w:type="character" w:styleId="Emphasis">
    <w:name w:val="Emphasis"/>
    <w:basedOn w:val="DefaultParagraphFont"/>
    <w:uiPriority w:val="20"/>
    <w:qFormat/>
    <w:rsid w:val="00BF17EC"/>
    <w:rPr>
      <w:i/>
      <w:iCs/>
    </w:rPr>
  </w:style>
  <w:style w:type="paragraph" w:styleId="ListParagraph">
    <w:name w:val="List Paragraph"/>
    <w:basedOn w:val="Normal"/>
    <w:uiPriority w:val="34"/>
    <w:qFormat/>
    <w:rsid w:val="003B2F65"/>
    <w:pPr>
      <w:ind w:left="720"/>
      <w:contextualSpacing/>
    </w:pPr>
  </w:style>
  <w:style w:type="character" w:customStyle="1" w:styleId="UnresolvedMention1">
    <w:name w:val="Unresolved Mention1"/>
    <w:basedOn w:val="DefaultParagraphFont"/>
    <w:uiPriority w:val="99"/>
    <w:semiHidden/>
    <w:unhideWhenUsed/>
    <w:rsid w:val="00180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794">
      <w:bodyDiv w:val="1"/>
      <w:marLeft w:val="0"/>
      <w:marRight w:val="0"/>
      <w:marTop w:val="0"/>
      <w:marBottom w:val="0"/>
      <w:divBdr>
        <w:top w:val="none" w:sz="0" w:space="0" w:color="auto"/>
        <w:left w:val="none" w:sz="0" w:space="0" w:color="auto"/>
        <w:bottom w:val="none" w:sz="0" w:space="0" w:color="auto"/>
        <w:right w:val="none" w:sz="0" w:space="0" w:color="auto"/>
      </w:divBdr>
    </w:div>
    <w:div w:id="302125763">
      <w:bodyDiv w:val="1"/>
      <w:marLeft w:val="0"/>
      <w:marRight w:val="0"/>
      <w:marTop w:val="0"/>
      <w:marBottom w:val="0"/>
      <w:divBdr>
        <w:top w:val="none" w:sz="0" w:space="0" w:color="auto"/>
        <w:left w:val="none" w:sz="0" w:space="0" w:color="auto"/>
        <w:bottom w:val="none" w:sz="0" w:space="0" w:color="auto"/>
        <w:right w:val="none" w:sz="0" w:space="0" w:color="auto"/>
      </w:divBdr>
    </w:div>
    <w:div w:id="427849169">
      <w:bodyDiv w:val="1"/>
      <w:marLeft w:val="0"/>
      <w:marRight w:val="0"/>
      <w:marTop w:val="0"/>
      <w:marBottom w:val="0"/>
      <w:divBdr>
        <w:top w:val="none" w:sz="0" w:space="0" w:color="auto"/>
        <w:left w:val="none" w:sz="0" w:space="0" w:color="auto"/>
        <w:bottom w:val="none" w:sz="0" w:space="0" w:color="auto"/>
        <w:right w:val="none" w:sz="0" w:space="0" w:color="auto"/>
      </w:divBdr>
    </w:div>
    <w:div w:id="526021404">
      <w:bodyDiv w:val="1"/>
      <w:marLeft w:val="0"/>
      <w:marRight w:val="0"/>
      <w:marTop w:val="0"/>
      <w:marBottom w:val="0"/>
      <w:divBdr>
        <w:top w:val="none" w:sz="0" w:space="0" w:color="auto"/>
        <w:left w:val="none" w:sz="0" w:space="0" w:color="auto"/>
        <w:bottom w:val="none" w:sz="0" w:space="0" w:color="auto"/>
        <w:right w:val="none" w:sz="0" w:space="0" w:color="auto"/>
      </w:divBdr>
    </w:div>
    <w:div w:id="676231077">
      <w:bodyDiv w:val="1"/>
      <w:marLeft w:val="0"/>
      <w:marRight w:val="0"/>
      <w:marTop w:val="0"/>
      <w:marBottom w:val="0"/>
      <w:divBdr>
        <w:top w:val="none" w:sz="0" w:space="0" w:color="auto"/>
        <w:left w:val="none" w:sz="0" w:space="0" w:color="auto"/>
        <w:bottom w:val="none" w:sz="0" w:space="0" w:color="auto"/>
        <w:right w:val="none" w:sz="0" w:space="0" w:color="auto"/>
      </w:divBdr>
    </w:div>
    <w:div w:id="722605901">
      <w:bodyDiv w:val="1"/>
      <w:marLeft w:val="0"/>
      <w:marRight w:val="0"/>
      <w:marTop w:val="0"/>
      <w:marBottom w:val="0"/>
      <w:divBdr>
        <w:top w:val="none" w:sz="0" w:space="0" w:color="auto"/>
        <w:left w:val="none" w:sz="0" w:space="0" w:color="auto"/>
        <w:bottom w:val="none" w:sz="0" w:space="0" w:color="auto"/>
        <w:right w:val="none" w:sz="0" w:space="0" w:color="auto"/>
      </w:divBdr>
    </w:div>
    <w:div w:id="823396922">
      <w:bodyDiv w:val="1"/>
      <w:marLeft w:val="0"/>
      <w:marRight w:val="0"/>
      <w:marTop w:val="0"/>
      <w:marBottom w:val="0"/>
      <w:divBdr>
        <w:top w:val="none" w:sz="0" w:space="0" w:color="auto"/>
        <w:left w:val="none" w:sz="0" w:space="0" w:color="auto"/>
        <w:bottom w:val="none" w:sz="0" w:space="0" w:color="auto"/>
        <w:right w:val="none" w:sz="0" w:space="0" w:color="auto"/>
      </w:divBdr>
    </w:div>
    <w:div w:id="993992523">
      <w:bodyDiv w:val="1"/>
      <w:marLeft w:val="0"/>
      <w:marRight w:val="0"/>
      <w:marTop w:val="0"/>
      <w:marBottom w:val="0"/>
      <w:divBdr>
        <w:top w:val="none" w:sz="0" w:space="0" w:color="auto"/>
        <w:left w:val="none" w:sz="0" w:space="0" w:color="auto"/>
        <w:bottom w:val="none" w:sz="0" w:space="0" w:color="auto"/>
        <w:right w:val="none" w:sz="0" w:space="0" w:color="auto"/>
      </w:divBdr>
    </w:div>
    <w:div w:id="1185637429">
      <w:bodyDiv w:val="1"/>
      <w:marLeft w:val="0"/>
      <w:marRight w:val="0"/>
      <w:marTop w:val="0"/>
      <w:marBottom w:val="0"/>
      <w:divBdr>
        <w:top w:val="none" w:sz="0" w:space="0" w:color="auto"/>
        <w:left w:val="none" w:sz="0" w:space="0" w:color="auto"/>
        <w:bottom w:val="none" w:sz="0" w:space="0" w:color="auto"/>
        <w:right w:val="none" w:sz="0" w:space="0" w:color="auto"/>
      </w:divBdr>
    </w:div>
    <w:div w:id="1252350483">
      <w:bodyDiv w:val="1"/>
      <w:marLeft w:val="0"/>
      <w:marRight w:val="0"/>
      <w:marTop w:val="0"/>
      <w:marBottom w:val="0"/>
      <w:divBdr>
        <w:top w:val="none" w:sz="0" w:space="0" w:color="auto"/>
        <w:left w:val="none" w:sz="0" w:space="0" w:color="auto"/>
        <w:bottom w:val="none" w:sz="0" w:space="0" w:color="auto"/>
        <w:right w:val="none" w:sz="0" w:space="0" w:color="auto"/>
      </w:divBdr>
    </w:div>
    <w:div w:id="1409812856">
      <w:bodyDiv w:val="1"/>
      <w:marLeft w:val="0"/>
      <w:marRight w:val="0"/>
      <w:marTop w:val="0"/>
      <w:marBottom w:val="0"/>
      <w:divBdr>
        <w:top w:val="none" w:sz="0" w:space="0" w:color="auto"/>
        <w:left w:val="none" w:sz="0" w:space="0" w:color="auto"/>
        <w:bottom w:val="none" w:sz="0" w:space="0" w:color="auto"/>
        <w:right w:val="none" w:sz="0" w:space="0" w:color="auto"/>
      </w:divBdr>
    </w:div>
    <w:div w:id="1424884234">
      <w:bodyDiv w:val="1"/>
      <w:marLeft w:val="0"/>
      <w:marRight w:val="0"/>
      <w:marTop w:val="0"/>
      <w:marBottom w:val="0"/>
      <w:divBdr>
        <w:top w:val="none" w:sz="0" w:space="0" w:color="auto"/>
        <w:left w:val="none" w:sz="0" w:space="0" w:color="auto"/>
        <w:bottom w:val="none" w:sz="0" w:space="0" w:color="auto"/>
        <w:right w:val="none" w:sz="0" w:space="0" w:color="auto"/>
      </w:divBdr>
    </w:div>
    <w:div w:id="1523935663">
      <w:bodyDiv w:val="1"/>
      <w:marLeft w:val="0"/>
      <w:marRight w:val="0"/>
      <w:marTop w:val="0"/>
      <w:marBottom w:val="0"/>
      <w:divBdr>
        <w:top w:val="none" w:sz="0" w:space="0" w:color="auto"/>
        <w:left w:val="none" w:sz="0" w:space="0" w:color="auto"/>
        <w:bottom w:val="none" w:sz="0" w:space="0" w:color="auto"/>
        <w:right w:val="none" w:sz="0" w:space="0" w:color="auto"/>
      </w:divBdr>
    </w:div>
    <w:div w:id="1648708366">
      <w:bodyDiv w:val="1"/>
      <w:marLeft w:val="0"/>
      <w:marRight w:val="0"/>
      <w:marTop w:val="0"/>
      <w:marBottom w:val="0"/>
      <w:divBdr>
        <w:top w:val="none" w:sz="0" w:space="0" w:color="auto"/>
        <w:left w:val="none" w:sz="0" w:space="0" w:color="auto"/>
        <w:bottom w:val="none" w:sz="0" w:space="0" w:color="auto"/>
        <w:right w:val="none" w:sz="0" w:space="0" w:color="auto"/>
      </w:divBdr>
    </w:div>
    <w:div w:id="180715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tandards.chair@csmfo.org" TargetMode="External"/><Relationship Id="rId4" Type="http://schemas.openxmlformats.org/officeDocument/2006/relationships/webSettings" Target="webSettings.xml"/><Relationship Id="rId9" Type="http://schemas.openxmlformats.org/officeDocument/2006/relationships/hyperlink" Target="https://www.csmfo.org/professional-standards-committee-highl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Al-Imam</dc:creator>
  <cp:keywords/>
  <dc:description/>
  <cp:lastModifiedBy>David Blue Garrison</cp:lastModifiedBy>
  <cp:revision>6</cp:revision>
  <cp:lastPrinted>2020-04-16T23:07:00Z</cp:lastPrinted>
  <dcterms:created xsi:type="dcterms:W3CDTF">2020-06-25T00:23:00Z</dcterms:created>
  <dcterms:modified xsi:type="dcterms:W3CDTF">2021-12-02T18:05:00Z</dcterms:modified>
</cp:coreProperties>
</file>